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0C22" w14:textId="1439AB68" w:rsidR="00775873" w:rsidRPr="00AC2425" w:rsidRDefault="00775873" w:rsidP="00291896">
      <w:pPr>
        <w:autoSpaceDE w:val="0"/>
        <w:autoSpaceDN w:val="0"/>
        <w:adjustRightInd w:val="0"/>
        <w:jc w:val="center"/>
        <w:rPr>
          <w:b/>
          <w:bCs/>
          <w:color w:val="000000"/>
          <w:u w:val="single"/>
        </w:rPr>
      </w:pPr>
      <w:r w:rsidRPr="00AC2425">
        <w:rPr>
          <w:b/>
          <w:bCs/>
          <w:color w:val="000000"/>
          <w:u w:val="single"/>
        </w:rPr>
        <w:t>INTERNAL CONTROL QUESTIONNAIRE (ICQ)</w:t>
      </w:r>
      <w:r w:rsidR="00A53884" w:rsidRPr="00AC2425">
        <w:rPr>
          <w:b/>
          <w:bCs/>
          <w:color w:val="000000"/>
          <w:u w:val="single"/>
        </w:rPr>
        <w:t xml:space="preserve"> OVERVIEW</w:t>
      </w:r>
    </w:p>
    <w:p w14:paraId="64D31926" w14:textId="77777777" w:rsidR="00AC2425" w:rsidRPr="007B6ECD" w:rsidRDefault="00AC2425" w:rsidP="00AC2425">
      <w:pPr>
        <w:spacing w:before="67"/>
        <w:rPr>
          <w:sz w:val="20"/>
          <w:szCs w:val="20"/>
        </w:rPr>
      </w:pPr>
      <w:r w:rsidRPr="00AC2425">
        <w:rPr>
          <w:rFonts w:eastAsiaTheme="minorEastAsia"/>
          <w:b/>
          <w:bCs/>
          <w:color w:val="000000" w:themeColor="text1"/>
          <w:kern w:val="24"/>
        </w:rPr>
        <w:t> </w:t>
      </w:r>
    </w:p>
    <w:p w14:paraId="1178A24C" w14:textId="77777777" w:rsidR="00AC2425" w:rsidRPr="007B6ECD" w:rsidRDefault="00AC2425" w:rsidP="0052247D">
      <w:pPr>
        <w:spacing w:before="67"/>
        <w:jc w:val="both"/>
        <w:rPr>
          <w:sz w:val="28"/>
          <w:szCs w:val="28"/>
        </w:rPr>
      </w:pPr>
      <w:r w:rsidRPr="007B6ECD">
        <w:rPr>
          <w:rFonts w:eastAsiaTheme="minorEastAsia"/>
          <w:color w:val="000000" w:themeColor="text1"/>
          <w:kern w:val="24"/>
          <w:sz w:val="28"/>
          <w:szCs w:val="28"/>
        </w:rPr>
        <w:t xml:space="preserve">The firm must demonstrate through the ICQ, a fundamental understanding of the Federal Acquisition Regulations (FAR). MoDOT auditors will gain an understanding of your firm’s accounting practices through a Risk Based Assessment, which will provide reasonable assurance that the documents contain no material misstatements, identifies potential improvements to the firm’s accounting practices while still maintaining an audit process that is both effective and efficient. </w:t>
      </w:r>
    </w:p>
    <w:p w14:paraId="5BF6E8C4" w14:textId="77777777" w:rsidR="00AC2425" w:rsidRPr="007B6ECD" w:rsidRDefault="00AC2425" w:rsidP="00AC2425">
      <w:pPr>
        <w:spacing w:before="67"/>
        <w:rPr>
          <w:sz w:val="20"/>
          <w:szCs w:val="20"/>
        </w:rPr>
      </w:pPr>
      <w:r w:rsidRPr="007B6ECD">
        <w:rPr>
          <w:rFonts w:eastAsiaTheme="minorEastAsia"/>
          <w:color w:val="000000" w:themeColor="text1"/>
          <w:kern w:val="24"/>
          <w:sz w:val="20"/>
          <w:szCs w:val="20"/>
        </w:rPr>
        <w:t> </w:t>
      </w:r>
    </w:p>
    <w:p w14:paraId="2A4C9905" w14:textId="77777777" w:rsidR="00AC2425" w:rsidRPr="007B6ECD" w:rsidRDefault="00AC2425" w:rsidP="0052247D">
      <w:pPr>
        <w:spacing w:before="67"/>
        <w:jc w:val="both"/>
        <w:rPr>
          <w:sz w:val="28"/>
          <w:szCs w:val="28"/>
        </w:rPr>
      </w:pPr>
      <w:r w:rsidRPr="007B6ECD">
        <w:rPr>
          <w:rFonts w:eastAsiaTheme="minorEastAsia"/>
          <w:color w:val="000000" w:themeColor="text1"/>
          <w:kern w:val="24"/>
          <w:sz w:val="28"/>
          <w:szCs w:val="28"/>
        </w:rPr>
        <w:t>The Risk-Based Assessment includes but is not limited to the review of the firms:</w:t>
      </w:r>
    </w:p>
    <w:p w14:paraId="57972B48" w14:textId="77777777" w:rsidR="00AC2425" w:rsidRPr="0052247D" w:rsidRDefault="00AC2425" w:rsidP="00AC2425">
      <w:pPr>
        <w:spacing w:before="67"/>
        <w:rPr>
          <w:sz w:val="20"/>
          <w:szCs w:val="20"/>
        </w:rPr>
      </w:pPr>
      <w:r w:rsidRPr="0052247D">
        <w:rPr>
          <w:rFonts w:eastAsiaTheme="minorEastAsia"/>
          <w:color w:val="000000" w:themeColor="text1"/>
          <w:kern w:val="24"/>
          <w:sz w:val="20"/>
          <w:szCs w:val="20"/>
        </w:rPr>
        <w:t> </w:t>
      </w:r>
    </w:p>
    <w:p w14:paraId="5D645A85" w14:textId="41DEEAAE" w:rsidR="00AC2425" w:rsidRPr="007B6ECD" w:rsidRDefault="00EC0856" w:rsidP="0052247D">
      <w:pPr>
        <w:numPr>
          <w:ilvl w:val="1"/>
          <w:numId w:val="4"/>
        </w:numPr>
        <w:tabs>
          <w:tab w:val="clear" w:pos="1440"/>
          <w:tab w:val="num" w:pos="720"/>
        </w:tabs>
        <w:ind w:left="2606" w:hanging="2066"/>
        <w:contextualSpacing/>
        <w:jc w:val="both"/>
        <w:rPr>
          <w:sz w:val="28"/>
          <w:szCs w:val="28"/>
        </w:rPr>
      </w:pPr>
      <w:r>
        <w:rPr>
          <w:rFonts w:eastAsiaTheme="minorEastAsia"/>
          <w:color w:val="000000" w:themeColor="text1"/>
          <w:kern w:val="24"/>
          <w:sz w:val="28"/>
          <w:szCs w:val="28"/>
        </w:rPr>
        <w:t>A</w:t>
      </w:r>
      <w:r w:rsidR="00AC2425" w:rsidRPr="007B6ECD">
        <w:rPr>
          <w:rFonts w:eastAsiaTheme="minorEastAsia"/>
          <w:color w:val="000000" w:themeColor="text1"/>
          <w:kern w:val="24"/>
          <w:sz w:val="28"/>
          <w:szCs w:val="28"/>
        </w:rPr>
        <w:t>ccounting, timekeeping, bonus &amp; IT policies and procedures</w:t>
      </w:r>
    </w:p>
    <w:p w14:paraId="6DF199B3" w14:textId="77777777" w:rsidR="00AC2425" w:rsidRPr="007B6ECD" w:rsidRDefault="00AC2425" w:rsidP="0052247D">
      <w:pPr>
        <w:numPr>
          <w:ilvl w:val="1"/>
          <w:numId w:val="4"/>
        </w:numPr>
        <w:tabs>
          <w:tab w:val="clear" w:pos="1440"/>
          <w:tab w:val="num" w:pos="720"/>
        </w:tabs>
        <w:ind w:left="2606" w:hanging="2066"/>
        <w:contextualSpacing/>
        <w:jc w:val="both"/>
        <w:rPr>
          <w:sz w:val="28"/>
          <w:szCs w:val="28"/>
        </w:rPr>
      </w:pPr>
      <w:r w:rsidRPr="007B6ECD">
        <w:rPr>
          <w:rFonts w:eastAsiaTheme="minorEastAsia"/>
          <w:color w:val="000000" w:themeColor="text1"/>
          <w:kern w:val="24"/>
          <w:sz w:val="28"/>
          <w:szCs w:val="28"/>
        </w:rPr>
        <w:t>Control environment of the accounting system</w:t>
      </w:r>
    </w:p>
    <w:p w14:paraId="68A24BC1" w14:textId="77777777" w:rsidR="00AC2425" w:rsidRPr="007B6ECD" w:rsidRDefault="00AC2425" w:rsidP="0052247D">
      <w:pPr>
        <w:numPr>
          <w:ilvl w:val="1"/>
          <w:numId w:val="4"/>
        </w:numPr>
        <w:tabs>
          <w:tab w:val="clear" w:pos="1440"/>
          <w:tab w:val="num" w:pos="720"/>
        </w:tabs>
        <w:ind w:left="2606" w:hanging="2066"/>
        <w:contextualSpacing/>
        <w:jc w:val="both"/>
        <w:rPr>
          <w:sz w:val="28"/>
          <w:szCs w:val="28"/>
        </w:rPr>
      </w:pPr>
      <w:r w:rsidRPr="007B6ECD">
        <w:rPr>
          <w:rFonts w:eastAsiaTheme="minorEastAsia"/>
          <w:color w:val="000000" w:themeColor="text1"/>
          <w:kern w:val="24"/>
          <w:sz w:val="28"/>
          <w:szCs w:val="28"/>
        </w:rPr>
        <w:t>Ability of the firm to demonstrate fundamental FAR knowledge</w:t>
      </w:r>
    </w:p>
    <w:p w14:paraId="35412253" w14:textId="77777777" w:rsidR="00AC2425" w:rsidRPr="007B6ECD" w:rsidRDefault="00AC2425" w:rsidP="0052247D">
      <w:pPr>
        <w:numPr>
          <w:ilvl w:val="1"/>
          <w:numId w:val="4"/>
        </w:numPr>
        <w:tabs>
          <w:tab w:val="clear" w:pos="1440"/>
          <w:tab w:val="num" w:pos="720"/>
        </w:tabs>
        <w:ind w:left="2606" w:hanging="2066"/>
        <w:contextualSpacing/>
        <w:jc w:val="both"/>
        <w:rPr>
          <w:sz w:val="28"/>
          <w:szCs w:val="28"/>
        </w:rPr>
      </w:pPr>
      <w:r w:rsidRPr="007B6ECD">
        <w:rPr>
          <w:rFonts w:eastAsiaTheme="minorEastAsia"/>
          <w:color w:val="000000" w:themeColor="text1"/>
          <w:kern w:val="24"/>
          <w:sz w:val="28"/>
          <w:szCs w:val="28"/>
        </w:rPr>
        <w:t>The firm’s ability to segregate direct and indirect cost</w:t>
      </w:r>
    </w:p>
    <w:p w14:paraId="1ECEA39E" w14:textId="77777777" w:rsidR="00AC2425" w:rsidRPr="007B6ECD" w:rsidRDefault="00AC2425" w:rsidP="0052247D">
      <w:pPr>
        <w:numPr>
          <w:ilvl w:val="1"/>
          <w:numId w:val="4"/>
        </w:numPr>
        <w:tabs>
          <w:tab w:val="clear" w:pos="1440"/>
          <w:tab w:val="num" w:pos="720"/>
        </w:tabs>
        <w:ind w:left="2606" w:hanging="2066"/>
        <w:contextualSpacing/>
        <w:jc w:val="both"/>
        <w:rPr>
          <w:sz w:val="28"/>
          <w:szCs w:val="28"/>
        </w:rPr>
      </w:pPr>
      <w:r w:rsidRPr="007B6ECD">
        <w:rPr>
          <w:rFonts w:eastAsiaTheme="minorEastAsia"/>
          <w:color w:val="000000" w:themeColor="text1"/>
          <w:kern w:val="24"/>
          <w:sz w:val="28"/>
          <w:szCs w:val="28"/>
        </w:rPr>
        <w:t>Proper allocation of labor cost to di</w:t>
      </w:r>
      <w:bookmarkStart w:id="0" w:name="_GoBack"/>
      <w:bookmarkEnd w:id="0"/>
      <w:r w:rsidRPr="007B6ECD">
        <w:rPr>
          <w:rFonts w:eastAsiaTheme="minorEastAsia"/>
          <w:color w:val="000000" w:themeColor="text1"/>
          <w:kern w:val="24"/>
          <w:sz w:val="28"/>
          <w:szCs w:val="28"/>
        </w:rPr>
        <w:t>rect and indirect costs such as:</w:t>
      </w:r>
    </w:p>
    <w:p w14:paraId="7867B997"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Timekeeping entry, adjustments, and approvals</w:t>
      </w:r>
    </w:p>
    <w:p w14:paraId="3E47C3DA"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Uncompensated overtime for salaried employees</w:t>
      </w:r>
    </w:p>
    <w:p w14:paraId="0B987CD4" w14:textId="77777777" w:rsidR="00AC2425" w:rsidRPr="007B6ECD" w:rsidRDefault="00AC2425" w:rsidP="00AC2425">
      <w:pPr>
        <w:ind w:left="4320" w:hanging="450"/>
        <w:contextualSpacing/>
        <w:rPr>
          <w:sz w:val="20"/>
          <w:szCs w:val="20"/>
        </w:rPr>
      </w:pPr>
    </w:p>
    <w:p w14:paraId="62314E8C"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Compensation</w:t>
      </w:r>
    </w:p>
    <w:p w14:paraId="189F2E39" w14:textId="77777777" w:rsidR="00AC2425" w:rsidRPr="007B6ECD" w:rsidRDefault="00AC2425" w:rsidP="007B6ECD">
      <w:pPr>
        <w:numPr>
          <w:ilvl w:val="3"/>
          <w:numId w:val="4"/>
        </w:numPr>
        <w:tabs>
          <w:tab w:val="clear" w:pos="2880"/>
          <w:tab w:val="num" w:pos="2340"/>
        </w:tabs>
        <w:ind w:hanging="270"/>
        <w:contextualSpacing/>
        <w:rPr>
          <w:sz w:val="28"/>
          <w:szCs w:val="28"/>
        </w:rPr>
      </w:pPr>
      <w:r w:rsidRPr="007B6ECD">
        <w:rPr>
          <w:rFonts w:eastAsiaTheme="minorEastAsia"/>
          <w:color w:val="000000" w:themeColor="text1"/>
          <w:kern w:val="24"/>
          <w:sz w:val="28"/>
          <w:szCs w:val="28"/>
        </w:rPr>
        <w:t>Base salary</w:t>
      </w:r>
    </w:p>
    <w:p w14:paraId="2DBD009F"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 xml:space="preserve">Bonus </w:t>
      </w:r>
    </w:p>
    <w:p w14:paraId="46CDAB47"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Pension</w:t>
      </w:r>
    </w:p>
    <w:p w14:paraId="5B30A2A0"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Health/life insurance</w:t>
      </w:r>
    </w:p>
    <w:p w14:paraId="73DBBA2D"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Auto allowance</w:t>
      </w:r>
    </w:p>
    <w:p w14:paraId="4F823952"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Deferred comp</w:t>
      </w:r>
    </w:p>
    <w:p w14:paraId="51DDEB0F"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Long-term insurance</w:t>
      </w:r>
    </w:p>
    <w:p w14:paraId="498F8A58" w14:textId="77777777" w:rsidR="00AC2425" w:rsidRPr="007B6ECD" w:rsidRDefault="00AC2425" w:rsidP="007B6ECD">
      <w:pPr>
        <w:numPr>
          <w:ilvl w:val="3"/>
          <w:numId w:val="4"/>
        </w:numPr>
        <w:ind w:left="3870" w:hanging="1260"/>
        <w:contextualSpacing/>
        <w:rPr>
          <w:sz w:val="28"/>
          <w:szCs w:val="28"/>
        </w:rPr>
      </w:pPr>
      <w:r w:rsidRPr="007B6ECD">
        <w:rPr>
          <w:rFonts w:eastAsiaTheme="minorEastAsia"/>
          <w:color w:val="000000" w:themeColor="text1"/>
          <w:kern w:val="24"/>
          <w:sz w:val="28"/>
          <w:szCs w:val="28"/>
        </w:rPr>
        <w:t>Stock options</w:t>
      </w:r>
    </w:p>
    <w:p w14:paraId="22BB4164" w14:textId="77777777" w:rsidR="00AC2425" w:rsidRPr="007B6ECD" w:rsidRDefault="00AC2425" w:rsidP="007B6ECD">
      <w:pPr>
        <w:numPr>
          <w:ilvl w:val="4"/>
          <w:numId w:val="4"/>
        </w:numPr>
        <w:ind w:left="4590" w:hanging="1260"/>
        <w:contextualSpacing/>
        <w:rPr>
          <w:sz w:val="28"/>
          <w:szCs w:val="28"/>
        </w:rPr>
      </w:pPr>
      <w:r w:rsidRPr="007B6ECD">
        <w:rPr>
          <w:rFonts w:eastAsiaTheme="minorEastAsia"/>
          <w:color w:val="000000" w:themeColor="text1"/>
          <w:kern w:val="24"/>
          <w:sz w:val="28"/>
          <w:szCs w:val="28"/>
        </w:rPr>
        <w:t>Distribution of Profits</w:t>
      </w:r>
    </w:p>
    <w:p w14:paraId="73F992B0" w14:textId="77777777" w:rsidR="00AC2425" w:rsidRPr="007B6ECD" w:rsidRDefault="00AC2425" w:rsidP="00AC2425">
      <w:pPr>
        <w:ind w:left="4590"/>
        <w:contextualSpacing/>
        <w:rPr>
          <w:sz w:val="20"/>
          <w:szCs w:val="20"/>
        </w:rPr>
      </w:pPr>
    </w:p>
    <w:p w14:paraId="04C850A1" w14:textId="77777777" w:rsidR="00AC2425" w:rsidRPr="007B6ECD" w:rsidRDefault="00AC2425" w:rsidP="0052247D">
      <w:pPr>
        <w:numPr>
          <w:ilvl w:val="1"/>
          <w:numId w:val="4"/>
        </w:numPr>
        <w:ind w:left="720" w:hanging="180"/>
        <w:contextualSpacing/>
        <w:jc w:val="both"/>
        <w:rPr>
          <w:sz w:val="28"/>
          <w:szCs w:val="28"/>
        </w:rPr>
      </w:pPr>
      <w:r w:rsidRPr="007B6ECD">
        <w:rPr>
          <w:rFonts w:eastAsiaTheme="minorEastAsia"/>
          <w:color w:val="000000" w:themeColor="text1"/>
          <w:kern w:val="24"/>
          <w:sz w:val="28"/>
          <w:szCs w:val="28"/>
        </w:rPr>
        <w:t>The firm’s ability to identify and remove unallowable costs to included but not limited to:</w:t>
      </w:r>
    </w:p>
    <w:p w14:paraId="1E5C004E" w14:textId="77777777" w:rsidR="007B6ECD" w:rsidRPr="007B6ECD" w:rsidRDefault="007B6ECD" w:rsidP="007B6ECD">
      <w:pPr>
        <w:ind w:left="720"/>
        <w:contextualSpacing/>
        <w:rPr>
          <w:sz w:val="20"/>
          <w:szCs w:val="20"/>
        </w:rPr>
      </w:pPr>
    </w:p>
    <w:p w14:paraId="13C9E5EA"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Travel &amp; Meals</w:t>
      </w:r>
    </w:p>
    <w:p w14:paraId="4386090A"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Employee welfare</w:t>
      </w:r>
    </w:p>
    <w:p w14:paraId="0815A5F8"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Outside Services</w:t>
      </w:r>
    </w:p>
    <w:p w14:paraId="418CCCB2"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Legal &amp; Professional Fees</w:t>
      </w:r>
    </w:p>
    <w:p w14:paraId="5195ABF1"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Rent/Lease costs</w:t>
      </w:r>
    </w:p>
    <w:p w14:paraId="75F2303D"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Marketing/Advertising</w:t>
      </w:r>
    </w:p>
    <w:p w14:paraId="67317F61" w14:textId="77777777" w:rsidR="00AC2425" w:rsidRPr="007B6ECD" w:rsidRDefault="00AC2425" w:rsidP="007B6ECD">
      <w:pPr>
        <w:numPr>
          <w:ilvl w:val="2"/>
          <w:numId w:val="4"/>
        </w:numPr>
        <w:ind w:left="2970" w:hanging="1530"/>
        <w:contextualSpacing/>
        <w:rPr>
          <w:sz w:val="28"/>
          <w:szCs w:val="28"/>
        </w:rPr>
      </w:pPr>
      <w:r w:rsidRPr="007B6ECD">
        <w:rPr>
          <w:rFonts w:eastAsiaTheme="minorEastAsia"/>
          <w:color w:val="000000" w:themeColor="text1"/>
          <w:kern w:val="24"/>
          <w:sz w:val="28"/>
          <w:szCs w:val="28"/>
        </w:rPr>
        <w:t>Depreciation – Section 179 &amp; Bonus Depreciation is unallowed</w:t>
      </w:r>
    </w:p>
    <w:p w14:paraId="581A4863" w14:textId="7C132549" w:rsidR="00291896" w:rsidRPr="00AC2425" w:rsidRDefault="0052247D" w:rsidP="007B6ECD">
      <w:pPr>
        <w:numPr>
          <w:ilvl w:val="2"/>
          <w:numId w:val="4"/>
        </w:numPr>
        <w:ind w:left="2970" w:hanging="1530"/>
        <w:contextualSpacing/>
      </w:pPr>
      <w:hyperlink r:id="rId11" w:history="1">
        <w:r w:rsidR="002C7CD6" w:rsidRPr="005B661D">
          <w:rPr>
            <w:rStyle w:val="Hyperlink"/>
            <w:rFonts w:eastAsiaTheme="minorEastAsia"/>
            <w:kern w:val="24"/>
            <w:sz w:val="28"/>
            <w:szCs w:val="28"/>
          </w:rPr>
          <w:t>List of Common Unallowable Costs</w:t>
        </w:r>
      </w:hyperlink>
    </w:p>
    <w:sectPr w:rsidR="00291896" w:rsidRPr="00AC2425" w:rsidSect="00AC2425">
      <w:footerReference w:type="defaul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E0182" w14:textId="77777777" w:rsidR="003D6678" w:rsidRDefault="003D6678" w:rsidP="00291896">
      <w:r>
        <w:separator/>
      </w:r>
    </w:p>
  </w:endnote>
  <w:endnote w:type="continuationSeparator" w:id="0">
    <w:p w14:paraId="7A3092A7" w14:textId="77777777" w:rsidR="003D6678" w:rsidRDefault="003D6678" w:rsidP="0029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9C60" w14:textId="52627C16" w:rsidR="008E07C0" w:rsidRPr="008E07C0" w:rsidRDefault="008E07C0">
    <w:pPr>
      <w:pStyle w:val="Footer"/>
      <w:pBdr>
        <w:top w:val="thinThickSmallGap" w:sz="24" w:space="1" w:color="622423" w:themeColor="accent2" w:themeShade="7F"/>
      </w:pBdr>
      <w:rPr>
        <w:rFonts w:eastAsiaTheme="majorEastAsia"/>
        <w:sz w:val="16"/>
        <w:szCs w:val="16"/>
      </w:rPr>
    </w:pPr>
    <w:r w:rsidRPr="008E07C0">
      <w:rPr>
        <w:b/>
        <w:bCs/>
        <w:color w:val="000000"/>
        <w:sz w:val="16"/>
        <w:szCs w:val="16"/>
      </w:rPr>
      <w:t>INTERNAL CONTROL QUESTIONNAIRE (ICQ) OVERVIEW</w:t>
    </w:r>
    <w:r w:rsidRPr="008E07C0">
      <w:rPr>
        <w:rFonts w:eastAsiaTheme="majorEastAsia"/>
        <w:sz w:val="16"/>
        <w:szCs w:val="16"/>
      </w:rPr>
      <w:t xml:space="preserve"> </w:t>
    </w:r>
    <w:r w:rsidRPr="008E07C0">
      <w:rPr>
        <w:rFonts w:eastAsiaTheme="majorEastAsia"/>
        <w:sz w:val="16"/>
        <w:szCs w:val="16"/>
      </w:rPr>
      <w:ptab w:relativeTo="margin" w:alignment="right" w:leader="none"/>
    </w:r>
    <w:r w:rsidRPr="008E07C0">
      <w:rPr>
        <w:rFonts w:eastAsiaTheme="majorEastAsia"/>
        <w:sz w:val="16"/>
        <w:szCs w:val="16"/>
      </w:rPr>
      <w:t xml:space="preserve">Page </w:t>
    </w:r>
    <w:r w:rsidRPr="008E07C0">
      <w:rPr>
        <w:rFonts w:eastAsiaTheme="minorEastAsia"/>
        <w:sz w:val="16"/>
        <w:szCs w:val="16"/>
      </w:rPr>
      <w:fldChar w:fldCharType="begin"/>
    </w:r>
    <w:r w:rsidRPr="008E07C0">
      <w:rPr>
        <w:sz w:val="16"/>
        <w:szCs w:val="16"/>
      </w:rPr>
      <w:instrText xml:space="preserve"> PAGE   \* MERGEFORMAT </w:instrText>
    </w:r>
    <w:r w:rsidRPr="008E07C0">
      <w:rPr>
        <w:rFonts w:eastAsiaTheme="minorEastAsia"/>
        <w:sz w:val="16"/>
        <w:szCs w:val="16"/>
      </w:rPr>
      <w:fldChar w:fldCharType="separate"/>
    </w:r>
    <w:r w:rsidR="0052247D" w:rsidRPr="0052247D">
      <w:rPr>
        <w:rFonts w:eastAsiaTheme="majorEastAsia"/>
        <w:noProof/>
        <w:sz w:val="16"/>
        <w:szCs w:val="16"/>
      </w:rPr>
      <w:t>1</w:t>
    </w:r>
    <w:r w:rsidRPr="008E07C0">
      <w:rPr>
        <w:rFonts w:eastAsiaTheme="majorEastAsia"/>
        <w:noProof/>
        <w:sz w:val="16"/>
        <w:szCs w:val="16"/>
      </w:rPr>
      <w:fldChar w:fldCharType="end"/>
    </w:r>
  </w:p>
  <w:p w14:paraId="4387A593" w14:textId="77777777" w:rsidR="00291896" w:rsidRDefault="00291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1C677" w14:textId="77777777" w:rsidR="003D6678" w:rsidRDefault="003D6678" w:rsidP="00291896">
      <w:r>
        <w:separator/>
      </w:r>
    </w:p>
  </w:footnote>
  <w:footnote w:type="continuationSeparator" w:id="0">
    <w:p w14:paraId="4D703748" w14:textId="77777777" w:rsidR="003D6678" w:rsidRDefault="003D6678" w:rsidP="00291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E68"/>
    <w:multiLevelType w:val="hybridMultilevel"/>
    <w:tmpl w:val="F032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C538C"/>
    <w:multiLevelType w:val="hybridMultilevel"/>
    <w:tmpl w:val="E194A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D4F88"/>
    <w:multiLevelType w:val="hybridMultilevel"/>
    <w:tmpl w:val="A3CC4E3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B85CBD"/>
    <w:multiLevelType w:val="hybridMultilevel"/>
    <w:tmpl w:val="0A9C40DE"/>
    <w:lvl w:ilvl="0" w:tplc="0D10A202">
      <w:start w:val="1"/>
      <w:numFmt w:val="bullet"/>
      <w:lvlText w:val="•"/>
      <w:lvlJc w:val="left"/>
      <w:pPr>
        <w:tabs>
          <w:tab w:val="num" w:pos="720"/>
        </w:tabs>
        <w:ind w:left="720" w:hanging="360"/>
      </w:pPr>
      <w:rPr>
        <w:rFonts w:ascii="Arial" w:hAnsi="Arial" w:hint="default"/>
      </w:rPr>
    </w:lvl>
    <w:lvl w:ilvl="1" w:tplc="BFEEADF0">
      <w:start w:val="1"/>
      <w:numFmt w:val="bullet"/>
      <w:lvlText w:val="•"/>
      <w:lvlJc w:val="left"/>
      <w:pPr>
        <w:tabs>
          <w:tab w:val="num" w:pos="1440"/>
        </w:tabs>
        <w:ind w:left="1440" w:hanging="360"/>
      </w:pPr>
      <w:rPr>
        <w:rFonts w:ascii="Arial" w:hAnsi="Arial" w:hint="default"/>
      </w:rPr>
    </w:lvl>
    <w:lvl w:ilvl="2" w:tplc="63D203DE">
      <w:start w:val="569"/>
      <w:numFmt w:val="bullet"/>
      <w:lvlText w:val="o"/>
      <w:lvlJc w:val="left"/>
      <w:pPr>
        <w:tabs>
          <w:tab w:val="num" w:pos="2160"/>
        </w:tabs>
        <w:ind w:left="2160" w:hanging="360"/>
      </w:pPr>
      <w:rPr>
        <w:rFonts w:ascii="Courier New" w:hAnsi="Courier New" w:hint="default"/>
      </w:rPr>
    </w:lvl>
    <w:lvl w:ilvl="3" w:tplc="D49CFC62">
      <w:start w:val="569"/>
      <w:numFmt w:val="bullet"/>
      <w:lvlText w:val="•"/>
      <w:lvlJc w:val="left"/>
      <w:pPr>
        <w:tabs>
          <w:tab w:val="num" w:pos="2880"/>
        </w:tabs>
        <w:ind w:left="2880" w:hanging="360"/>
      </w:pPr>
      <w:rPr>
        <w:rFonts w:ascii="Arial" w:hAnsi="Arial" w:hint="default"/>
      </w:rPr>
    </w:lvl>
    <w:lvl w:ilvl="4" w:tplc="C60437F4">
      <w:start w:val="569"/>
      <w:numFmt w:val="bullet"/>
      <w:lvlText w:val="o"/>
      <w:lvlJc w:val="left"/>
      <w:pPr>
        <w:tabs>
          <w:tab w:val="num" w:pos="3600"/>
        </w:tabs>
        <w:ind w:left="3600" w:hanging="360"/>
      </w:pPr>
      <w:rPr>
        <w:rFonts w:ascii="Courier New" w:hAnsi="Courier New" w:hint="default"/>
      </w:rPr>
    </w:lvl>
    <w:lvl w:ilvl="5" w:tplc="11C06D76" w:tentative="1">
      <w:start w:val="1"/>
      <w:numFmt w:val="bullet"/>
      <w:lvlText w:val="•"/>
      <w:lvlJc w:val="left"/>
      <w:pPr>
        <w:tabs>
          <w:tab w:val="num" w:pos="4320"/>
        </w:tabs>
        <w:ind w:left="4320" w:hanging="360"/>
      </w:pPr>
      <w:rPr>
        <w:rFonts w:ascii="Arial" w:hAnsi="Arial" w:hint="default"/>
      </w:rPr>
    </w:lvl>
    <w:lvl w:ilvl="6" w:tplc="CCB4A3C6" w:tentative="1">
      <w:start w:val="1"/>
      <w:numFmt w:val="bullet"/>
      <w:lvlText w:val="•"/>
      <w:lvlJc w:val="left"/>
      <w:pPr>
        <w:tabs>
          <w:tab w:val="num" w:pos="5040"/>
        </w:tabs>
        <w:ind w:left="5040" w:hanging="360"/>
      </w:pPr>
      <w:rPr>
        <w:rFonts w:ascii="Arial" w:hAnsi="Arial" w:hint="default"/>
      </w:rPr>
    </w:lvl>
    <w:lvl w:ilvl="7" w:tplc="4C84BD28" w:tentative="1">
      <w:start w:val="1"/>
      <w:numFmt w:val="bullet"/>
      <w:lvlText w:val="•"/>
      <w:lvlJc w:val="left"/>
      <w:pPr>
        <w:tabs>
          <w:tab w:val="num" w:pos="5760"/>
        </w:tabs>
        <w:ind w:left="5760" w:hanging="360"/>
      </w:pPr>
      <w:rPr>
        <w:rFonts w:ascii="Arial" w:hAnsi="Arial" w:hint="default"/>
      </w:rPr>
    </w:lvl>
    <w:lvl w:ilvl="8" w:tplc="21D679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59"/>
    <w:rsid w:val="00002697"/>
    <w:rsid w:val="0002333E"/>
    <w:rsid w:val="000235C1"/>
    <w:rsid w:val="00040233"/>
    <w:rsid w:val="00055152"/>
    <w:rsid w:val="00095EE6"/>
    <w:rsid w:val="00103A99"/>
    <w:rsid w:val="00221583"/>
    <w:rsid w:val="00234DAA"/>
    <w:rsid w:val="002532F3"/>
    <w:rsid w:val="00291896"/>
    <w:rsid w:val="002C7CD6"/>
    <w:rsid w:val="0032521F"/>
    <w:rsid w:val="0036204B"/>
    <w:rsid w:val="003B33F9"/>
    <w:rsid w:val="003D4A80"/>
    <w:rsid w:val="003D6678"/>
    <w:rsid w:val="00413E94"/>
    <w:rsid w:val="0042688C"/>
    <w:rsid w:val="004400B0"/>
    <w:rsid w:val="004573E8"/>
    <w:rsid w:val="004604D1"/>
    <w:rsid w:val="00477CB1"/>
    <w:rsid w:val="00480815"/>
    <w:rsid w:val="004A2AE3"/>
    <w:rsid w:val="0052247D"/>
    <w:rsid w:val="005B2308"/>
    <w:rsid w:val="005B661D"/>
    <w:rsid w:val="005D00CC"/>
    <w:rsid w:val="005D02E3"/>
    <w:rsid w:val="005E7AD2"/>
    <w:rsid w:val="00611CFD"/>
    <w:rsid w:val="006328EE"/>
    <w:rsid w:val="00654065"/>
    <w:rsid w:val="006B06FE"/>
    <w:rsid w:val="006B4B5A"/>
    <w:rsid w:val="006C21E4"/>
    <w:rsid w:val="007258B2"/>
    <w:rsid w:val="007506AC"/>
    <w:rsid w:val="00775873"/>
    <w:rsid w:val="007766D3"/>
    <w:rsid w:val="007B6ECD"/>
    <w:rsid w:val="007D1BFB"/>
    <w:rsid w:val="008275CE"/>
    <w:rsid w:val="00856E34"/>
    <w:rsid w:val="0085751F"/>
    <w:rsid w:val="00876381"/>
    <w:rsid w:val="0088544E"/>
    <w:rsid w:val="008E07C0"/>
    <w:rsid w:val="00921C18"/>
    <w:rsid w:val="009A64A6"/>
    <w:rsid w:val="009D23DA"/>
    <w:rsid w:val="00A53884"/>
    <w:rsid w:val="00AB165D"/>
    <w:rsid w:val="00AC2425"/>
    <w:rsid w:val="00AE0B18"/>
    <w:rsid w:val="00AE6C51"/>
    <w:rsid w:val="00B020EB"/>
    <w:rsid w:val="00B166F0"/>
    <w:rsid w:val="00B37FFC"/>
    <w:rsid w:val="00B41866"/>
    <w:rsid w:val="00B569C2"/>
    <w:rsid w:val="00B81406"/>
    <w:rsid w:val="00B96725"/>
    <w:rsid w:val="00BA7542"/>
    <w:rsid w:val="00C01345"/>
    <w:rsid w:val="00C2053E"/>
    <w:rsid w:val="00C50774"/>
    <w:rsid w:val="00C63899"/>
    <w:rsid w:val="00C672A7"/>
    <w:rsid w:val="00D72A9F"/>
    <w:rsid w:val="00DA49CF"/>
    <w:rsid w:val="00DC46C1"/>
    <w:rsid w:val="00DC5759"/>
    <w:rsid w:val="00E6275A"/>
    <w:rsid w:val="00EA3007"/>
    <w:rsid w:val="00EC0856"/>
    <w:rsid w:val="00EE2C75"/>
    <w:rsid w:val="00EF24B7"/>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F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345"/>
    <w:rPr>
      <w:sz w:val="24"/>
      <w:szCs w:val="24"/>
    </w:rPr>
  </w:style>
  <w:style w:type="paragraph" w:styleId="Heading1">
    <w:name w:val="heading 1"/>
    <w:basedOn w:val="Normal"/>
    <w:next w:val="Normal"/>
    <w:link w:val="Heading1Char"/>
    <w:qFormat/>
    <w:rsid w:val="00C01345"/>
    <w:pPr>
      <w:keepNext/>
      <w:outlineLvl w:val="0"/>
    </w:pPr>
    <w:rPr>
      <w:b/>
      <w:bCs/>
      <w:sz w:val="32"/>
      <w:u w:val="single"/>
    </w:rPr>
  </w:style>
  <w:style w:type="paragraph" w:styleId="Heading2">
    <w:name w:val="heading 2"/>
    <w:basedOn w:val="Normal"/>
    <w:next w:val="Normal"/>
    <w:link w:val="Heading2Char"/>
    <w:qFormat/>
    <w:rsid w:val="00C01345"/>
    <w:pPr>
      <w:keepNext/>
      <w:outlineLvl w:val="1"/>
    </w:pPr>
    <w:rPr>
      <w:b/>
      <w:bCs/>
      <w:u w:val="single"/>
    </w:rPr>
  </w:style>
  <w:style w:type="paragraph" w:styleId="Heading3">
    <w:name w:val="heading 3"/>
    <w:basedOn w:val="Normal"/>
    <w:next w:val="Normal"/>
    <w:link w:val="Heading3Char"/>
    <w:qFormat/>
    <w:rsid w:val="00C0134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345"/>
    <w:rPr>
      <w:b/>
      <w:bCs/>
      <w:sz w:val="32"/>
      <w:szCs w:val="24"/>
      <w:u w:val="single"/>
    </w:rPr>
  </w:style>
  <w:style w:type="character" w:customStyle="1" w:styleId="Heading2Char">
    <w:name w:val="Heading 2 Char"/>
    <w:basedOn w:val="DefaultParagraphFont"/>
    <w:link w:val="Heading2"/>
    <w:rsid w:val="00C01345"/>
    <w:rPr>
      <w:b/>
      <w:bCs/>
      <w:sz w:val="24"/>
      <w:szCs w:val="24"/>
      <w:u w:val="single"/>
    </w:rPr>
  </w:style>
  <w:style w:type="character" w:customStyle="1" w:styleId="Heading3Char">
    <w:name w:val="Heading 3 Char"/>
    <w:basedOn w:val="DefaultParagraphFont"/>
    <w:link w:val="Heading3"/>
    <w:rsid w:val="00C01345"/>
    <w:rPr>
      <w:b/>
      <w:bCs/>
      <w:sz w:val="24"/>
      <w:szCs w:val="24"/>
    </w:rPr>
  </w:style>
  <w:style w:type="paragraph" w:styleId="Title">
    <w:name w:val="Title"/>
    <w:basedOn w:val="Normal"/>
    <w:link w:val="TitleChar"/>
    <w:qFormat/>
    <w:rsid w:val="00C01345"/>
    <w:pPr>
      <w:jc w:val="center"/>
    </w:pPr>
    <w:rPr>
      <w:b/>
      <w:bCs/>
      <w:sz w:val="48"/>
    </w:rPr>
  </w:style>
  <w:style w:type="character" w:customStyle="1" w:styleId="TitleChar">
    <w:name w:val="Title Char"/>
    <w:basedOn w:val="DefaultParagraphFont"/>
    <w:link w:val="Title"/>
    <w:rsid w:val="00C01345"/>
    <w:rPr>
      <w:b/>
      <w:bCs/>
      <w:sz w:val="48"/>
      <w:szCs w:val="24"/>
    </w:rPr>
  </w:style>
  <w:style w:type="paragraph" w:styleId="Subtitle">
    <w:name w:val="Subtitle"/>
    <w:basedOn w:val="Normal"/>
    <w:link w:val="SubtitleChar"/>
    <w:qFormat/>
    <w:rsid w:val="00C01345"/>
    <w:pPr>
      <w:jc w:val="center"/>
    </w:pPr>
    <w:rPr>
      <w:b/>
      <w:bCs/>
    </w:rPr>
  </w:style>
  <w:style w:type="character" w:customStyle="1" w:styleId="SubtitleChar">
    <w:name w:val="Subtitle Char"/>
    <w:basedOn w:val="DefaultParagraphFont"/>
    <w:link w:val="Subtitle"/>
    <w:rsid w:val="00C01345"/>
    <w:rPr>
      <w:b/>
      <w:bCs/>
      <w:sz w:val="24"/>
      <w:szCs w:val="24"/>
    </w:rPr>
  </w:style>
  <w:style w:type="character" w:styleId="Strong">
    <w:name w:val="Strong"/>
    <w:basedOn w:val="DefaultParagraphFont"/>
    <w:qFormat/>
    <w:rsid w:val="00C01345"/>
    <w:rPr>
      <w:b/>
      <w:bCs/>
    </w:rPr>
  </w:style>
  <w:style w:type="character" w:styleId="Emphasis">
    <w:name w:val="Emphasis"/>
    <w:basedOn w:val="DefaultParagraphFont"/>
    <w:qFormat/>
    <w:rsid w:val="00C01345"/>
    <w:rPr>
      <w:i/>
      <w:iCs/>
    </w:rPr>
  </w:style>
  <w:style w:type="paragraph" w:styleId="ListParagraph">
    <w:name w:val="List Paragraph"/>
    <w:basedOn w:val="Normal"/>
    <w:uiPriority w:val="34"/>
    <w:qFormat/>
    <w:rsid w:val="00C01345"/>
    <w:pPr>
      <w:spacing w:after="200" w:line="276" w:lineRule="auto"/>
      <w:ind w:left="720"/>
    </w:pPr>
    <w:rPr>
      <w:rFonts w:ascii="Calibri" w:hAnsi="Calibri"/>
      <w:sz w:val="22"/>
      <w:szCs w:val="22"/>
    </w:rPr>
  </w:style>
  <w:style w:type="character" w:styleId="Hyperlink">
    <w:name w:val="Hyperlink"/>
    <w:basedOn w:val="DefaultParagraphFont"/>
    <w:uiPriority w:val="99"/>
    <w:unhideWhenUsed/>
    <w:rsid w:val="00103A99"/>
    <w:rPr>
      <w:color w:val="0000FF" w:themeColor="hyperlink"/>
      <w:u w:val="single"/>
    </w:rPr>
  </w:style>
  <w:style w:type="character" w:styleId="FollowedHyperlink">
    <w:name w:val="FollowedHyperlink"/>
    <w:basedOn w:val="DefaultParagraphFont"/>
    <w:uiPriority w:val="99"/>
    <w:semiHidden/>
    <w:unhideWhenUsed/>
    <w:rsid w:val="00B020EB"/>
    <w:rPr>
      <w:color w:val="800080" w:themeColor="followedHyperlink"/>
      <w:u w:val="single"/>
    </w:rPr>
  </w:style>
  <w:style w:type="paragraph" w:styleId="Header">
    <w:name w:val="header"/>
    <w:basedOn w:val="Normal"/>
    <w:link w:val="HeaderChar"/>
    <w:uiPriority w:val="99"/>
    <w:unhideWhenUsed/>
    <w:rsid w:val="00291896"/>
    <w:pPr>
      <w:tabs>
        <w:tab w:val="center" w:pos="4680"/>
        <w:tab w:val="right" w:pos="9360"/>
      </w:tabs>
    </w:pPr>
  </w:style>
  <w:style w:type="character" w:customStyle="1" w:styleId="HeaderChar">
    <w:name w:val="Header Char"/>
    <w:basedOn w:val="DefaultParagraphFont"/>
    <w:link w:val="Header"/>
    <w:uiPriority w:val="99"/>
    <w:rsid w:val="00291896"/>
    <w:rPr>
      <w:sz w:val="24"/>
      <w:szCs w:val="24"/>
    </w:rPr>
  </w:style>
  <w:style w:type="paragraph" w:styleId="Footer">
    <w:name w:val="footer"/>
    <w:basedOn w:val="Normal"/>
    <w:link w:val="FooterChar"/>
    <w:uiPriority w:val="99"/>
    <w:unhideWhenUsed/>
    <w:rsid w:val="00291896"/>
    <w:pPr>
      <w:tabs>
        <w:tab w:val="center" w:pos="4680"/>
        <w:tab w:val="right" w:pos="9360"/>
      </w:tabs>
    </w:pPr>
  </w:style>
  <w:style w:type="character" w:customStyle="1" w:styleId="FooterChar">
    <w:name w:val="Footer Char"/>
    <w:basedOn w:val="DefaultParagraphFont"/>
    <w:link w:val="Footer"/>
    <w:uiPriority w:val="99"/>
    <w:rsid w:val="00291896"/>
    <w:rPr>
      <w:sz w:val="24"/>
      <w:szCs w:val="24"/>
    </w:rPr>
  </w:style>
  <w:style w:type="paragraph" w:styleId="BalloonText">
    <w:name w:val="Balloon Text"/>
    <w:basedOn w:val="Normal"/>
    <w:link w:val="BalloonTextChar"/>
    <w:uiPriority w:val="99"/>
    <w:semiHidden/>
    <w:unhideWhenUsed/>
    <w:rsid w:val="00291896"/>
    <w:rPr>
      <w:rFonts w:ascii="Tahoma" w:hAnsi="Tahoma" w:cs="Tahoma"/>
      <w:sz w:val="16"/>
      <w:szCs w:val="16"/>
    </w:rPr>
  </w:style>
  <w:style w:type="character" w:customStyle="1" w:styleId="BalloonTextChar">
    <w:name w:val="Balloon Text Char"/>
    <w:basedOn w:val="DefaultParagraphFont"/>
    <w:link w:val="BalloonText"/>
    <w:uiPriority w:val="99"/>
    <w:semiHidden/>
    <w:rsid w:val="00291896"/>
    <w:rPr>
      <w:rFonts w:ascii="Tahoma" w:hAnsi="Tahoma" w:cs="Tahoma"/>
      <w:sz w:val="16"/>
      <w:szCs w:val="16"/>
    </w:rPr>
  </w:style>
  <w:style w:type="character" w:styleId="CommentReference">
    <w:name w:val="annotation reference"/>
    <w:basedOn w:val="DefaultParagraphFont"/>
    <w:uiPriority w:val="99"/>
    <w:semiHidden/>
    <w:unhideWhenUsed/>
    <w:rsid w:val="006328EE"/>
    <w:rPr>
      <w:sz w:val="16"/>
      <w:szCs w:val="16"/>
    </w:rPr>
  </w:style>
  <w:style w:type="paragraph" w:styleId="CommentText">
    <w:name w:val="annotation text"/>
    <w:basedOn w:val="Normal"/>
    <w:link w:val="CommentTextChar"/>
    <w:uiPriority w:val="99"/>
    <w:semiHidden/>
    <w:unhideWhenUsed/>
    <w:rsid w:val="006328EE"/>
    <w:rPr>
      <w:sz w:val="20"/>
      <w:szCs w:val="20"/>
    </w:rPr>
  </w:style>
  <w:style w:type="character" w:customStyle="1" w:styleId="CommentTextChar">
    <w:name w:val="Comment Text Char"/>
    <w:basedOn w:val="DefaultParagraphFont"/>
    <w:link w:val="CommentText"/>
    <w:uiPriority w:val="99"/>
    <w:semiHidden/>
    <w:rsid w:val="006328EE"/>
  </w:style>
  <w:style w:type="paragraph" w:styleId="CommentSubject">
    <w:name w:val="annotation subject"/>
    <w:basedOn w:val="CommentText"/>
    <w:next w:val="CommentText"/>
    <w:link w:val="CommentSubjectChar"/>
    <w:uiPriority w:val="99"/>
    <w:semiHidden/>
    <w:unhideWhenUsed/>
    <w:rsid w:val="006328EE"/>
    <w:rPr>
      <w:b/>
      <w:bCs/>
    </w:rPr>
  </w:style>
  <w:style w:type="character" w:customStyle="1" w:styleId="CommentSubjectChar">
    <w:name w:val="Comment Subject Char"/>
    <w:basedOn w:val="CommentTextChar"/>
    <w:link w:val="CommentSubject"/>
    <w:uiPriority w:val="99"/>
    <w:semiHidden/>
    <w:rsid w:val="006328EE"/>
    <w:rPr>
      <w:b/>
      <w:bCs/>
    </w:rPr>
  </w:style>
  <w:style w:type="paragraph" w:styleId="NormalWeb">
    <w:name w:val="Normal (Web)"/>
    <w:basedOn w:val="Normal"/>
    <w:uiPriority w:val="99"/>
    <w:semiHidden/>
    <w:unhideWhenUsed/>
    <w:rsid w:val="00AC24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345"/>
    <w:rPr>
      <w:sz w:val="24"/>
      <w:szCs w:val="24"/>
    </w:rPr>
  </w:style>
  <w:style w:type="paragraph" w:styleId="Heading1">
    <w:name w:val="heading 1"/>
    <w:basedOn w:val="Normal"/>
    <w:next w:val="Normal"/>
    <w:link w:val="Heading1Char"/>
    <w:qFormat/>
    <w:rsid w:val="00C01345"/>
    <w:pPr>
      <w:keepNext/>
      <w:outlineLvl w:val="0"/>
    </w:pPr>
    <w:rPr>
      <w:b/>
      <w:bCs/>
      <w:sz w:val="32"/>
      <w:u w:val="single"/>
    </w:rPr>
  </w:style>
  <w:style w:type="paragraph" w:styleId="Heading2">
    <w:name w:val="heading 2"/>
    <w:basedOn w:val="Normal"/>
    <w:next w:val="Normal"/>
    <w:link w:val="Heading2Char"/>
    <w:qFormat/>
    <w:rsid w:val="00C01345"/>
    <w:pPr>
      <w:keepNext/>
      <w:outlineLvl w:val="1"/>
    </w:pPr>
    <w:rPr>
      <w:b/>
      <w:bCs/>
      <w:u w:val="single"/>
    </w:rPr>
  </w:style>
  <w:style w:type="paragraph" w:styleId="Heading3">
    <w:name w:val="heading 3"/>
    <w:basedOn w:val="Normal"/>
    <w:next w:val="Normal"/>
    <w:link w:val="Heading3Char"/>
    <w:qFormat/>
    <w:rsid w:val="00C0134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345"/>
    <w:rPr>
      <w:b/>
      <w:bCs/>
      <w:sz w:val="32"/>
      <w:szCs w:val="24"/>
      <w:u w:val="single"/>
    </w:rPr>
  </w:style>
  <w:style w:type="character" w:customStyle="1" w:styleId="Heading2Char">
    <w:name w:val="Heading 2 Char"/>
    <w:basedOn w:val="DefaultParagraphFont"/>
    <w:link w:val="Heading2"/>
    <w:rsid w:val="00C01345"/>
    <w:rPr>
      <w:b/>
      <w:bCs/>
      <w:sz w:val="24"/>
      <w:szCs w:val="24"/>
      <w:u w:val="single"/>
    </w:rPr>
  </w:style>
  <w:style w:type="character" w:customStyle="1" w:styleId="Heading3Char">
    <w:name w:val="Heading 3 Char"/>
    <w:basedOn w:val="DefaultParagraphFont"/>
    <w:link w:val="Heading3"/>
    <w:rsid w:val="00C01345"/>
    <w:rPr>
      <w:b/>
      <w:bCs/>
      <w:sz w:val="24"/>
      <w:szCs w:val="24"/>
    </w:rPr>
  </w:style>
  <w:style w:type="paragraph" w:styleId="Title">
    <w:name w:val="Title"/>
    <w:basedOn w:val="Normal"/>
    <w:link w:val="TitleChar"/>
    <w:qFormat/>
    <w:rsid w:val="00C01345"/>
    <w:pPr>
      <w:jc w:val="center"/>
    </w:pPr>
    <w:rPr>
      <w:b/>
      <w:bCs/>
      <w:sz w:val="48"/>
    </w:rPr>
  </w:style>
  <w:style w:type="character" w:customStyle="1" w:styleId="TitleChar">
    <w:name w:val="Title Char"/>
    <w:basedOn w:val="DefaultParagraphFont"/>
    <w:link w:val="Title"/>
    <w:rsid w:val="00C01345"/>
    <w:rPr>
      <w:b/>
      <w:bCs/>
      <w:sz w:val="48"/>
      <w:szCs w:val="24"/>
    </w:rPr>
  </w:style>
  <w:style w:type="paragraph" w:styleId="Subtitle">
    <w:name w:val="Subtitle"/>
    <w:basedOn w:val="Normal"/>
    <w:link w:val="SubtitleChar"/>
    <w:qFormat/>
    <w:rsid w:val="00C01345"/>
    <w:pPr>
      <w:jc w:val="center"/>
    </w:pPr>
    <w:rPr>
      <w:b/>
      <w:bCs/>
    </w:rPr>
  </w:style>
  <w:style w:type="character" w:customStyle="1" w:styleId="SubtitleChar">
    <w:name w:val="Subtitle Char"/>
    <w:basedOn w:val="DefaultParagraphFont"/>
    <w:link w:val="Subtitle"/>
    <w:rsid w:val="00C01345"/>
    <w:rPr>
      <w:b/>
      <w:bCs/>
      <w:sz w:val="24"/>
      <w:szCs w:val="24"/>
    </w:rPr>
  </w:style>
  <w:style w:type="character" w:styleId="Strong">
    <w:name w:val="Strong"/>
    <w:basedOn w:val="DefaultParagraphFont"/>
    <w:qFormat/>
    <w:rsid w:val="00C01345"/>
    <w:rPr>
      <w:b/>
      <w:bCs/>
    </w:rPr>
  </w:style>
  <w:style w:type="character" w:styleId="Emphasis">
    <w:name w:val="Emphasis"/>
    <w:basedOn w:val="DefaultParagraphFont"/>
    <w:qFormat/>
    <w:rsid w:val="00C01345"/>
    <w:rPr>
      <w:i/>
      <w:iCs/>
    </w:rPr>
  </w:style>
  <w:style w:type="paragraph" w:styleId="ListParagraph">
    <w:name w:val="List Paragraph"/>
    <w:basedOn w:val="Normal"/>
    <w:uiPriority w:val="34"/>
    <w:qFormat/>
    <w:rsid w:val="00C01345"/>
    <w:pPr>
      <w:spacing w:after="200" w:line="276" w:lineRule="auto"/>
      <w:ind w:left="720"/>
    </w:pPr>
    <w:rPr>
      <w:rFonts w:ascii="Calibri" w:hAnsi="Calibri"/>
      <w:sz w:val="22"/>
      <w:szCs w:val="22"/>
    </w:rPr>
  </w:style>
  <w:style w:type="character" w:styleId="Hyperlink">
    <w:name w:val="Hyperlink"/>
    <w:basedOn w:val="DefaultParagraphFont"/>
    <w:uiPriority w:val="99"/>
    <w:unhideWhenUsed/>
    <w:rsid w:val="00103A99"/>
    <w:rPr>
      <w:color w:val="0000FF" w:themeColor="hyperlink"/>
      <w:u w:val="single"/>
    </w:rPr>
  </w:style>
  <w:style w:type="character" w:styleId="FollowedHyperlink">
    <w:name w:val="FollowedHyperlink"/>
    <w:basedOn w:val="DefaultParagraphFont"/>
    <w:uiPriority w:val="99"/>
    <w:semiHidden/>
    <w:unhideWhenUsed/>
    <w:rsid w:val="00B020EB"/>
    <w:rPr>
      <w:color w:val="800080" w:themeColor="followedHyperlink"/>
      <w:u w:val="single"/>
    </w:rPr>
  </w:style>
  <w:style w:type="paragraph" w:styleId="Header">
    <w:name w:val="header"/>
    <w:basedOn w:val="Normal"/>
    <w:link w:val="HeaderChar"/>
    <w:uiPriority w:val="99"/>
    <w:unhideWhenUsed/>
    <w:rsid w:val="00291896"/>
    <w:pPr>
      <w:tabs>
        <w:tab w:val="center" w:pos="4680"/>
        <w:tab w:val="right" w:pos="9360"/>
      </w:tabs>
    </w:pPr>
  </w:style>
  <w:style w:type="character" w:customStyle="1" w:styleId="HeaderChar">
    <w:name w:val="Header Char"/>
    <w:basedOn w:val="DefaultParagraphFont"/>
    <w:link w:val="Header"/>
    <w:uiPriority w:val="99"/>
    <w:rsid w:val="00291896"/>
    <w:rPr>
      <w:sz w:val="24"/>
      <w:szCs w:val="24"/>
    </w:rPr>
  </w:style>
  <w:style w:type="paragraph" w:styleId="Footer">
    <w:name w:val="footer"/>
    <w:basedOn w:val="Normal"/>
    <w:link w:val="FooterChar"/>
    <w:uiPriority w:val="99"/>
    <w:unhideWhenUsed/>
    <w:rsid w:val="00291896"/>
    <w:pPr>
      <w:tabs>
        <w:tab w:val="center" w:pos="4680"/>
        <w:tab w:val="right" w:pos="9360"/>
      </w:tabs>
    </w:pPr>
  </w:style>
  <w:style w:type="character" w:customStyle="1" w:styleId="FooterChar">
    <w:name w:val="Footer Char"/>
    <w:basedOn w:val="DefaultParagraphFont"/>
    <w:link w:val="Footer"/>
    <w:uiPriority w:val="99"/>
    <w:rsid w:val="00291896"/>
    <w:rPr>
      <w:sz w:val="24"/>
      <w:szCs w:val="24"/>
    </w:rPr>
  </w:style>
  <w:style w:type="paragraph" w:styleId="BalloonText">
    <w:name w:val="Balloon Text"/>
    <w:basedOn w:val="Normal"/>
    <w:link w:val="BalloonTextChar"/>
    <w:uiPriority w:val="99"/>
    <w:semiHidden/>
    <w:unhideWhenUsed/>
    <w:rsid w:val="00291896"/>
    <w:rPr>
      <w:rFonts w:ascii="Tahoma" w:hAnsi="Tahoma" w:cs="Tahoma"/>
      <w:sz w:val="16"/>
      <w:szCs w:val="16"/>
    </w:rPr>
  </w:style>
  <w:style w:type="character" w:customStyle="1" w:styleId="BalloonTextChar">
    <w:name w:val="Balloon Text Char"/>
    <w:basedOn w:val="DefaultParagraphFont"/>
    <w:link w:val="BalloonText"/>
    <w:uiPriority w:val="99"/>
    <w:semiHidden/>
    <w:rsid w:val="00291896"/>
    <w:rPr>
      <w:rFonts w:ascii="Tahoma" w:hAnsi="Tahoma" w:cs="Tahoma"/>
      <w:sz w:val="16"/>
      <w:szCs w:val="16"/>
    </w:rPr>
  </w:style>
  <w:style w:type="character" w:styleId="CommentReference">
    <w:name w:val="annotation reference"/>
    <w:basedOn w:val="DefaultParagraphFont"/>
    <w:uiPriority w:val="99"/>
    <w:semiHidden/>
    <w:unhideWhenUsed/>
    <w:rsid w:val="006328EE"/>
    <w:rPr>
      <w:sz w:val="16"/>
      <w:szCs w:val="16"/>
    </w:rPr>
  </w:style>
  <w:style w:type="paragraph" w:styleId="CommentText">
    <w:name w:val="annotation text"/>
    <w:basedOn w:val="Normal"/>
    <w:link w:val="CommentTextChar"/>
    <w:uiPriority w:val="99"/>
    <w:semiHidden/>
    <w:unhideWhenUsed/>
    <w:rsid w:val="006328EE"/>
    <w:rPr>
      <w:sz w:val="20"/>
      <w:szCs w:val="20"/>
    </w:rPr>
  </w:style>
  <w:style w:type="character" w:customStyle="1" w:styleId="CommentTextChar">
    <w:name w:val="Comment Text Char"/>
    <w:basedOn w:val="DefaultParagraphFont"/>
    <w:link w:val="CommentText"/>
    <w:uiPriority w:val="99"/>
    <w:semiHidden/>
    <w:rsid w:val="006328EE"/>
  </w:style>
  <w:style w:type="paragraph" w:styleId="CommentSubject">
    <w:name w:val="annotation subject"/>
    <w:basedOn w:val="CommentText"/>
    <w:next w:val="CommentText"/>
    <w:link w:val="CommentSubjectChar"/>
    <w:uiPriority w:val="99"/>
    <w:semiHidden/>
    <w:unhideWhenUsed/>
    <w:rsid w:val="006328EE"/>
    <w:rPr>
      <w:b/>
      <w:bCs/>
    </w:rPr>
  </w:style>
  <w:style w:type="character" w:customStyle="1" w:styleId="CommentSubjectChar">
    <w:name w:val="Comment Subject Char"/>
    <w:basedOn w:val="CommentTextChar"/>
    <w:link w:val="CommentSubject"/>
    <w:uiPriority w:val="99"/>
    <w:semiHidden/>
    <w:rsid w:val="006328EE"/>
    <w:rPr>
      <w:b/>
      <w:bCs/>
    </w:rPr>
  </w:style>
  <w:style w:type="paragraph" w:styleId="NormalWeb">
    <w:name w:val="Normal (Web)"/>
    <w:basedOn w:val="Normal"/>
    <w:uiPriority w:val="99"/>
    <w:semiHidden/>
    <w:unhideWhenUsed/>
    <w:rsid w:val="00AC24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1784">
      <w:bodyDiv w:val="1"/>
      <w:marLeft w:val="0"/>
      <w:marRight w:val="0"/>
      <w:marTop w:val="0"/>
      <w:marBottom w:val="0"/>
      <w:divBdr>
        <w:top w:val="none" w:sz="0" w:space="0" w:color="auto"/>
        <w:left w:val="none" w:sz="0" w:space="0" w:color="auto"/>
        <w:bottom w:val="none" w:sz="0" w:space="0" w:color="auto"/>
        <w:right w:val="none" w:sz="0" w:space="0" w:color="auto"/>
      </w:divBdr>
      <w:divsChild>
        <w:div w:id="401878275">
          <w:marLeft w:val="1166"/>
          <w:marRight w:val="0"/>
          <w:marTop w:val="67"/>
          <w:marBottom w:val="0"/>
          <w:divBdr>
            <w:top w:val="none" w:sz="0" w:space="0" w:color="auto"/>
            <w:left w:val="none" w:sz="0" w:space="0" w:color="auto"/>
            <w:bottom w:val="none" w:sz="0" w:space="0" w:color="auto"/>
            <w:right w:val="none" w:sz="0" w:space="0" w:color="auto"/>
          </w:divBdr>
        </w:div>
        <w:div w:id="681200340">
          <w:marLeft w:val="1166"/>
          <w:marRight w:val="0"/>
          <w:marTop w:val="67"/>
          <w:marBottom w:val="0"/>
          <w:divBdr>
            <w:top w:val="none" w:sz="0" w:space="0" w:color="auto"/>
            <w:left w:val="none" w:sz="0" w:space="0" w:color="auto"/>
            <w:bottom w:val="none" w:sz="0" w:space="0" w:color="auto"/>
            <w:right w:val="none" w:sz="0" w:space="0" w:color="auto"/>
          </w:divBdr>
        </w:div>
        <w:div w:id="1094477697">
          <w:marLeft w:val="1166"/>
          <w:marRight w:val="0"/>
          <w:marTop w:val="67"/>
          <w:marBottom w:val="0"/>
          <w:divBdr>
            <w:top w:val="none" w:sz="0" w:space="0" w:color="auto"/>
            <w:left w:val="none" w:sz="0" w:space="0" w:color="auto"/>
            <w:bottom w:val="none" w:sz="0" w:space="0" w:color="auto"/>
            <w:right w:val="none" w:sz="0" w:space="0" w:color="auto"/>
          </w:divBdr>
        </w:div>
        <w:div w:id="878277829">
          <w:marLeft w:val="1166"/>
          <w:marRight w:val="0"/>
          <w:marTop w:val="67"/>
          <w:marBottom w:val="0"/>
          <w:divBdr>
            <w:top w:val="none" w:sz="0" w:space="0" w:color="auto"/>
            <w:left w:val="none" w:sz="0" w:space="0" w:color="auto"/>
            <w:bottom w:val="none" w:sz="0" w:space="0" w:color="auto"/>
            <w:right w:val="none" w:sz="0" w:space="0" w:color="auto"/>
          </w:divBdr>
        </w:div>
        <w:div w:id="1885290959">
          <w:marLeft w:val="1166"/>
          <w:marRight w:val="0"/>
          <w:marTop w:val="67"/>
          <w:marBottom w:val="0"/>
          <w:divBdr>
            <w:top w:val="none" w:sz="0" w:space="0" w:color="auto"/>
            <w:left w:val="none" w:sz="0" w:space="0" w:color="auto"/>
            <w:bottom w:val="none" w:sz="0" w:space="0" w:color="auto"/>
            <w:right w:val="none" w:sz="0" w:space="0" w:color="auto"/>
          </w:divBdr>
        </w:div>
        <w:div w:id="2090498896">
          <w:marLeft w:val="1800"/>
          <w:marRight w:val="0"/>
          <w:marTop w:val="62"/>
          <w:marBottom w:val="0"/>
          <w:divBdr>
            <w:top w:val="none" w:sz="0" w:space="0" w:color="auto"/>
            <w:left w:val="none" w:sz="0" w:space="0" w:color="auto"/>
            <w:bottom w:val="none" w:sz="0" w:space="0" w:color="auto"/>
            <w:right w:val="none" w:sz="0" w:space="0" w:color="auto"/>
          </w:divBdr>
        </w:div>
        <w:div w:id="1210070347">
          <w:marLeft w:val="2520"/>
          <w:marRight w:val="0"/>
          <w:marTop w:val="67"/>
          <w:marBottom w:val="0"/>
          <w:divBdr>
            <w:top w:val="none" w:sz="0" w:space="0" w:color="auto"/>
            <w:left w:val="none" w:sz="0" w:space="0" w:color="auto"/>
            <w:bottom w:val="none" w:sz="0" w:space="0" w:color="auto"/>
            <w:right w:val="none" w:sz="0" w:space="0" w:color="auto"/>
          </w:divBdr>
        </w:div>
        <w:div w:id="1350445296">
          <w:marLeft w:val="1800"/>
          <w:marRight w:val="0"/>
          <w:marTop w:val="67"/>
          <w:marBottom w:val="0"/>
          <w:divBdr>
            <w:top w:val="none" w:sz="0" w:space="0" w:color="auto"/>
            <w:left w:val="none" w:sz="0" w:space="0" w:color="auto"/>
            <w:bottom w:val="none" w:sz="0" w:space="0" w:color="auto"/>
            <w:right w:val="none" w:sz="0" w:space="0" w:color="auto"/>
          </w:divBdr>
        </w:div>
        <w:div w:id="1522629136">
          <w:marLeft w:val="2520"/>
          <w:marRight w:val="0"/>
          <w:marTop w:val="67"/>
          <w:marBottom w:val="0"/>
          <w:divBdr>
            <w:top w:val="none" w:sz="0" w:space="0" w:color="auto"/>
            <w:left w:val="none" w:sz="0" w:space="0" w:color="auto"/>
            <w:bottom w:val="none" w:sz="0" w:space="0" w:color="auto"/>
            <w:right w:val="none" w:sz="0" w:space="0" w:color="auto"/>
          </w:divBdr>
        </w:div>
        <w:div w:id="1329602859">
          <w:marLeft w:val="2520"/>
          <w:marRight w:val="0"/>
          <w:marTop w:val="67"/>
          <w:marBottom w:val="0"/>
          <w:divBdr>
            <w:top w:val="none" w:sz="0" w:space="0" w:color="auto"/>
            <w:left w:val="none" w:sz="0" w:space="0" w:color="auto"/>
            <w:bottom w:val="none" w:sz="0" w:space="0" w:color="auto"/>
            <w:right w:val="none" w:sz="0" w:space="0" w:color="auto"/>
          </w:divBdr>
        </w:div>
        <w:div w:id="1120418454">
          <w:marLeft w:val="2520"/>
          <w:marRight w:val="0"/>
          <w:marTop w:val="67"/>
          <w:marBottom w:val="0"/>
          <w:divBdr>
            <w:top w:val="none" w:sz="0" w:space="0" w:color="auto"/>
            <w:left w:val="none" w:sz="0" w:space="0" w:color="auto"/>
            <w:bottom w:val="none" w:sz="0" w:space="0" w:color="auto"/>
            <w:right w:val="none" w:sz="0" w:space="0" w:color="auto"/>
          </w:divBdr>
        </w:div>
        <w:div w:id="922571051">
          <w:marLeft w:val="2520"/>
          <w:marRight w:val="0"/>
          <w:marTop w:val="67"/>
          <w:marBottom w:val="0"/>
          <w:divBdr>
            <w:top w:val="none" w:sz="0" w:space="0" w:color="auto"/>
            <w:left w:val="none" w:sz="0" w:space="0" w:color="auto"/>
            <w:bottom w:val="none" w:sz="0" w:space="0" w:color="auto"/>
            <w:right w:val="none" w:sz="0" w:space="0" w:color="auto"/>
          </w:divBdr>
        </w:div>
        <w:div w:id="1925991127">
          <w:marLeft w:val="2520"/>
          <w:marRight w:val="0"/>
          <w:marTop w:val="67"/>
          <w:marBottom w:val="0"/>
          <w:divBdr>
            <w:top w:val="none" w:sz="0" w:space="0" w:color="auto"/>
            <w:left w:val="none" w:sz="0" w:space="0" w:color="auto"/>
            <w:bottom w:val="none" w:sz="0" w:space="0" w:color="auto"/>
            <w:right w:val="none" w:sz="0" w:space="0" w:color="auto"/>
          </w:divBdr>
        </w:div>
        <w:div w:id="1377269062">
          <w:marLeft w:val="2520"/>
          <w:marRight w:val="0"/>
          <w:marTop w:val="67"/>
          <w:marBottom w:val="0"/>
          <w:divBdr>
            <w:top w:val="none" w:sz="0" w:space="0" w:color="auto"/>
            <w:left w:val="none" w:sz="0" w:space="0" w:color="auto"/>
            <w:bottom w:val="none" w:sz="0" w:space="0" w:color="auto"/>
            <w:right w:val="none" w:sz="0" w:space="0" w:color="auto"/>
          </w:divBdr>
        </w:div>
        <w:div w:id="1437629686">
          <w:marLeft w:val="2520"/>
          <w:marRight w:val="0"/>
          <w:marTop w:val="67"/>
          <w:marBottom w:val="0"/>
          <w:divBdr>
            <w:top w:val="none" w:sz="0" w:space="0" w:color="auto"/>
            <w:left w:val="none" w:sz="0" w:space="0" w:color="auto"/>
            <w:bottom w:val="none" w:sz="0" w:space="0" w:color="auto"/>
            <w:right w:val="none" w:sz="0" w:space="0" w:color="auto"/>
          </w:divBdr>
        </w:div>
        <w:div w:id="897742871">
          <w:marLeft w:val="2520"/>
          <w:marRight w:val="0"/>
          <w:marTop w:val="67"/>
          <w:marBottom w:val="0"/>
          <w:divBdr>
            <w:top w:val="none" w:sz="0" w:space="0" w:color="auto"/>
            <w:left w:val="none" w:sz="0" w:space="0" w:color="auto"/>
            <w:bottom w:val="none" w:sz="0" w:space="0" w:color="auto"/>
            <w:right w:val="none" w:sz="0" w:space="0" w:color="auto"/>
          </w:divBdr>
        </w:div>
        <w:div w:id="2056613016">
          <w:marLeft w:val="3240"/>
          <w:marRight w:val="0"/>
          <w:marTop w:val="67"/>
          <w:marBottom w:val="0"/>
          <w:divBdr>
            <w:top w:val="none" w:sz="0" w:space="0" w:color="auto"/>
            <w:left w:val="none" w:sz="0" w:space="0" w:color="auto"/>
            <w:bottom w:val="none" w:sz="0" w:space="0" w:color="auto"/>
            <w:right w:val="none" w:sz="0" w:space="0" w:color="auto"/>
          </w:divBdr>
        </w:div>
        <w:div w:id="180513395">
          <w:marLeft w:val="1166"/>
          <w:marRight w:val="0"/>
          <w:marTop w:val="67"/>
          <w:marBottom w:val="0"/>
          <w:divBdr>
            <w:top w:val="none" w:sz="0" w:space="0" w:color="auto"/>
            <w:left w:val="none" w:sz="0" w:space="0" w:color="auto"/>
            <w:bottom w:val="none" w:sz="0" w:space="0" w:color="auto"/>
            <w:right w:val="none" w:sz="0" w:space="0" w:color="auto"/>
          </w:divBdr>
        </w:div>
        <w:div w:id="1188374351">
          <w:marLeft w:val="1800"/>
          <w:marRight w:val="0"/>
          <w:marTop w:val="67"/>
          <w:marBottom w:val="0"/>
          <w:divBdr>
            <w:top w:val="none" w:sz="0" w:space="0" w:color="auto"/>
            <w:left w:val="none" w:sz="0" w:space="0" w:color="auto"/>
            <w:bottom w:val="none" w:sz="0" w:space="0" w:color="auto"/>
            <w:right w:val="none" w:sz="0" w:space="0" w:color="auto"/>
          </w:divBdr>
        </w:div>
        <w:div w:id="1799496687">
          <w:marLeft w:val="1800"/>
          <w:marRight w:val="0"/>
          <w:marTop w:val="67"/>
          <w:marBottom w:val="0"/>
          <w:divBdr>
            <w:top w:val="none" w:sz="0" w:space="0" w:color="auto"/>
            <w:left w:val="none" w:sz="0" w:space="0" w:color="auto"/>
            <w:bottom w:val="none" w:sz="0" w:space="0" w:color="auto"/>
            <w:right w:val="none" w:sz="0" w:space="0" w:color="auto"/>
          </w:divBdr>
        </w:div>
        <w:div w:id="1459955070">
          <w:marLeft w:val="1800"/>
          <w:marRight w:val="0"/>
          <w:marTop w:val="67"/>
          <w:marBottom w:val="0"/>
          <w:divBdr>
            <w:top w:val="none" w:sz="0" w:space="0" w:color="auto"/>
            <w:left w:val="none" w:sz="0" w:space="0" w:color="auto"/>
            <w:bottom w:val="none" w:sz="0" w:space="0" w:color="auto"/>
            <w:right w:val="none" w:sz="0" w:space="0" w:color="auto"/>
          </w:divBdr>
        </w:div>
        <w:div w:id="1992444148">
          <w:marLeft w:val="1800"/>
          <w:marRight w:val="0"/>
          <w:marTop w:val="67"/>
          <w:marBottom w:val="0"/>
          <w:divBdr>
            <w:top w:val="none" w:sz="0" w:space="0" w:color="auto"/>
            <w:left w:val="none" w:sz="0" w:space="0" w:color="auto"/>
            <w:bottom w:val="none" w:sz="0" w:space="0" w:color="auto"/>
            <w:right w:val="none" w:sz="0" w:space="0" w:color="auto"/>
          </w:divBdr>
        </w:div>
        <w:div w:id="1074429246">
          <w:marLeft w:val="1800"/>
          <w:marRight w:val="0"/>
          <w:marTop w:val="67"/>
          <w:marBottom w:val="0"/>
          <w:divBdr>
            <w:top w:val="none" w:sz="0" w:space="0" w:color="auto"/>
            <w:left w:val="none" w:sz="0" w:space="0" w:color="auto"/>
            <w:bottom w:val="none" w:sz="0" w:space="0" w:color="auto"/>
            <w:right w:val="none" w:sz="0" w:space="0" w:color="auto"/>
          </w:divBdr>
        </w:div>
        <w:div w:id="1877498793">
          <w:marLeft w:val="1800"/>
          <w:marRight w:val="0"/>
          <w:marTop w:val="67"/>
          <w:marBottom w:val="0"/>
          <w:divBdr>
            <w:top w:val="none" w:sz="0" w:space="0" w:color="auto"/>
            <w:left w:val="none" w:sz="0" w:space="0" w:color="auto"/>
            <w:bottom w:val="none" w:sz="0" w:space="0" w:color="auto"/>
            <w:right w:val="none" w:sz="0" w:space="0" w:color="auto"/>
          </w:divBdr>
        </w:div>
        <w:div w:id="163807411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ontribute.modot.mo.gov/business/consultant_resources/documents/CommonUnallowableCosts.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49192D05D234AB9648A070A17FF79" ma:contentTypeVersion="1" ma:contentTypeDescription="Create a new document." ma:contentTypeScope="" ma:versionID="66c99b31416745beb0df37835623dd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9B1D-4127-4505-BA38-8BDC8EE9443B}"/>
</file>

<file path=customXml/itemProps2.xml><?xml version="1.0" encoding="utf-8"?>
<ds:datastoreItem xmlns:ds="http://schemas.openxmlformats.org/officeDocument/2006/customXml" ds:itemID="{C05F1864-12DD-4D2F-9538-7AE21BD79817}"/>
</file>

<file path=customXml/itemProps3.xml><?xml version="1.0" encoding="utf-8"?>
<ds:datastoreItem xmlns:ds="http://schemas.openxmlformats.org/officeDocument/2006/customXml" ds:itemID="{715127DA-09D7-4511-9BE3-3212C29ECB06}"/>
</file>

<file path=docProps/app.xml><?xml version="1.0" encoding="utf-8"?>
<Properties xmlns="http://schemas.openxmlformats.org/officeDocument/2006/extended-properties" xmlns:vt="http://schemas.openxmlformats.org/officeDocument/2006/docPropsVTypes">
  <Template>Normal.dotm</Template>
  <TotalTime>17</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 Riley</dc:creator>
  <cp:lastModifiedBy>Sandra K. Riley</cp:lastModifiedBy>
  <cp:revision>7</cp:revision>
  <cp:lastPrinted>2014-04-03T21:05:00Z</cp:lastPrinted>
  <dcterms:created xsi:type="dcterms:W3CDTF">2014-04-01T16:51:00Z</dcterms:created>
  <dcterms:modified xsi:type="dcterms:W3CDTF">2014-04-03T21:17:00Z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0x010100B9D49192D05D234AB9648A070A17FF79</vt:lpwstr>
  </property>
</Properties>
</file>