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BDC8" w14:textId="67AD360A" w:rsidR="008A69F8" w:rsidRPr="00CC7C4C" w:rsidRDefault="008A69F8" w:rsidP="008A69F8">
      <w:pPr>
        <w:pStyle w:val="Heading2"/>
        <w:rPr>
          <w:sz w:val="28"/>
        </w:rPr>
      </w:pPr>
      <w:r>
        <w:rPr>
          <w:bCs w:val="0"/>
          <w:sz w:val="40"/>
          <w:szCs w:val="44"/>
        </w:rPr>
        <w:t>202</w:t>
      </w:r>
      <w:r w:rsidR="00042114">
        <w:rPr>
          <w:bCs w:val="0"/>
          <w:sz w:val="40"/>
          <w:szCs w:val="44"/>
        </w:rPr>
        <w:t>3</w:t>
      </w:r>
      <w:r>
        <w:rPr>
          <w:bCs w:val="0"/>
          <w:sz w:val="40"/>
          <w:szCs w:val="44"/>
        </w:rPr>
        <w:t>-202</w:t>
      </w:r>
      <w:r w:rsidR="00042114">
        <w:rPr>
          <w:bCs w:val="0"/>
          <w:sz w:val="40"/>
          <w:szCs w:val="44"/>
        </w:rPr>
        <w:t>7</w:t>
      </w:r>
      <w:r>
        <w:rPr>
          <w:bCs w:val="0"/>
          <w:sz w:val="40"/>
          <w:szCs w:val="44"/>
        </w:rPr>
        <w:t xml:space="preserve"> STIP </w:t>
      </w:r>
      <w:r w:rsidRPr="00CA59D4">
        <w:rPr>
          <w:bCs w:val="0"/>
          <w:sz w:val="40"/>
          <w:szCs w:val="44"/>
        </w:rPr>
        <w:t>Financial Forecast Assumptions</w:t>
      </w:r>
    </w:p>
    <w:p w14:paraId="65AF926C" w14:textId="77777777" w:rsidR="008A69F8" w:rsidRDefault="008A69F8" w:rsidP="008A69F8">
      <w:pPr>
        <w:pStyle w:val="Heading1"/>
        <w:rPr>
          <w:bCs w:val="0"/>
          <w:sz w:val="28"/>
          <w:szCs w:val="28"/>
          <w:u w:val="none"/>
        </w:rPr>
      </w:pPr>
    </w:p>
    <w:p w14:paraId="1B91213D" w14:textId="77777777" w:rsidR="008A69F8" w:rsidRDefault="008A69F8" w:rsidP="008A69F8">
      <w:pPr>
        <w:pStyle w:val="Heading1"/>
        <w:rPr>
          <w:bCs w:val="0"/>
          <w:sz w:val="28"/>
          <w:szCs w:val="28"/>
          <w:u w:val="none"/>
        </w:rPr>
      </w:pPr>
      <w:r w:rsidRPr="008F461D">
        <w:rPr>
          <w:bCs w:val="0"/>
          <w:sz w:val="28"/>
          <w:szCs w:val="28"/>
          <w:u w:val="none"/>
        </w:rPr>
        <w:t>Revenues</w:t>
      </w:r>
    </w:p>
    <w:p w14:paraId="29B4D922" w14:textId="77777777" w:rsidR="008A69F8" w:rsidRPr="00C22B04" w:rsidRDefault="008A69F8" w:rsidP="008A69F8">
      <w:pPr>
        <w:rPr>
          <w:sz w:val="16"/>
          <w:szCs w:val="16"/>
        </w:rPr>
      </w:pPr>
    </w:p>
    <w:p w14:paraId="19FABB21" w14:textId="28801731" w:rsidR="008A69F8" w:rsidRPr="008F461D" w:rsidRDefault="008A69F8" w:rsidP="008A69F8">
      <w:pPr>
        <w:numPr>
          <w:ilvl w:val="0"/>
          <w:numId w:val="2"/>
        </w:numPr>
        <w:rPr>
          <w:color w:val="000000"/>
        </w:rPr>
      </w:pPr>
      <w:r w:rsidRPr="008F461D">
        <w:rPr>
          <w:color w:val="000000"/>
        </w:rPr>
        <w:t xml:space="preserve">Motor </w:t>
      </w:r>
      <w:r>
        <w:rPr>
          <w:color w:val="000000"/>
        </w:rPr>
        <w:t>F</w:t>
      </w:r>
      <w:r w:rsidRPr="008F461D">
        <w:rPr>
          <w:color w:val="000000"/>
        </w:rPr>
        <w:t xml:space="preserve">uel </w:t>
      </w:r>
      <w:r>
        <w:rPr>
          <w:color w:val="000000"/>
        </w:rPr>
        <w:t>T</w:t>
      </w:r>
      <w:r w:rsidRPr="008F461D">
        <w:rPr>
          <w:color w:val="000000"/>
        </w:rPr>
        <w:t>axes</w:t>
      </w:r>
      <w:r w:rsidR="00042114">
        <w:rPr>
          <w:color w:val="000000"/>
        </w:rPr>
        <w:t xml:space="preserve"> (excludes SB</w:t>
      </w:r>
      <w:r w:rsidR="00A12972">
        <w:rPr>
          <w:color w:val="000000"/>
        </w:rPr>
        <w:t>-</w:t>
      </w:r>
      <w:r w:rsidR="00042114">
        <w:rPr>
          <w:color w:val="000000"/>
        </w:rPr>
        <w:t>262)</w:t>
      </w:r>
    </w:p>
    <w:p w14:paraId="42E9A94B" w14:textId="1701AC3A" w:rsidR="008A69F8" w:rsidRDefault="00A12972" w:rsidP="008A69F8">
      <w:pPr>
        <w:numPr>
          <w:ilvl w:val="1"/>
          <w:numId w:val="1"/>
        </w:numPr>
      </w:pPr>
      <w:r>
        <w:t xml:space="preserve">Partial rebound to pre-COVID19 </w:t>
      </w:r>
      <w:r w:rsidR="00425E65">
        <w:t>level</w:t>
      </w:r>
      <w:r>
        <w:t xml:space="preserve"> (actual 2020)</w:t>
      </w:r>
      <w:r w:rsidR="00425E65">
        <w:t xml:space="preserve"> for 2022</w:t>
      </w:r>
    </w:p>
    <w:p w14:paraId="191086F4" w14:textId="0A7033A9" w:rsidR="008A69F8" w:rsidRPr="00C4352C" w:rsidRDefault="008A69F8" w:rsidP="008A69F8">
      <w:pPr>
        <w:numPr>
          <w:ilvl w:val="1"/>
          <w:numId w:val="1"/>
        </w:numPr>
      </w:pPr>
      <w:r>
        <w:t xml:space="preserve">Annual growth rate </w:t>
      </w:r>
      <w:r w:rsidR="00425E65">
        <w:t>of 1.5 percent for 2023 as rebounding continues</w:t>
      </w:r>
      <w:r>
        <w:t xml:space="preserve"> </w:t>
      </w:r>
    </w:p>
    <w:p w14:paraId="2A15F6EA" w14:textId="0FF8C340" w:rsidR="008A69F8" w:rsidRDefault="008A69F8" w:rsidP="008A69F8">
      <w:pPr>
        <w:numPr>
          <w:ilvl w:val="1"/>
          <w:numId w:val="1"/>
        </w:numPr>
      </w:pPr>
      <w:r w:rsidRPr="00C4352C">
        <w:t xml:space="preserve">Annual growth rate </w:t>
      </w:r>
      <w:r w:rsidR="00D46D07">
        <w:t xml:space="preserve">of </w:t>
      </w:r>
      <w:r>
        <w:t>0.</w:t>
      </w:r>
      <w:r w:rsidR="00042114">
        <w:t>0</w:t>
      </w:r>
      <w:r>
        <w:t xml:space="preserve"> percent</w:t>
      </w:r>
      <w:r w:rsidR="00425E65">
        <w:t xml:space="preserve"> for 2024</w:t>
      </w:r>
    </w:p>
    <w:p w14:paraId="27AE324C" w14:textId="3529A9B6" w:rsidR="008A69F8" w:rsidRPr="00C4352C" w:rsidRDefault="008A69F8" w:rsidP="008A69F8">
      <w:pPr>
        <w:numPr>
          <w:ilvl w:val="1"/>
          <w:numId w:val="1"/>
        </w:numPr>
      </w:pPr>
      <w:r>
        <w:t xml:space="preserve">Annual growth rate </w:t>
      </w:r>
      <w:r w:rsidR="00D46D07">
        <w:t xml:space="preserve">of -0.25 percent for </w:t>
      </w:r>
      <w:r>
        <w:t>202</w:t>
      </w:r>
      <w:r w:rsidR="00042114">
        <w:t>5</w:t>
      </w:r>
      <w:r>
        <w:t xml:space="preserve"> and beyond</w:t>
      </w:r>
      <w:r w:rsidRPr="00C4352C">
        <w:t xml:space="preserve"> </w:t>
      </w:r>
    </w:p>
    <w:p w14:paraId="60CC456E" w14:textId="77777777" w:rsidR="008A69F8" w:rsidRPr="00C4352C" w:rsidRDefault="008A69F8" w:rsidP="008A69F8">
      <w:pPr>
        <w:numPr>
          <w:ilvl w:val="1"/>
          <w:numId w:val="1"/>
        </w:numPr>
      </w:pPr>
      <w:r w:rsidRPr="00C4352C">
        <w:t>Assumes greater fuel economy (Corporate Average Fuel Economy - CAFE standards) will off-set increases in vehicle miles traveled</w:t>
      </w:r>
    </w:p>
    <w:p w14:paraId="4B197D6A" w14:textId="48D41189" w:rsidR="00042114" w:rsidRDefault="008A69F8" w:rsidP="008A69F8">
      <w:pPr>
        <w:numPr>
          <w:ilvl w:val="1"/>
          <w:numId w:val="1"/>
        </w:numPr>
      </w:pPr>
      <w:r w:rsidRPr="00C4352C">
        <w:t>Based on historical data and fuel consumption projections from the U.S. Energy Information Administration’s Annual Energy Outlook 20</w:t>
      </w:r>
      <w:r>
        <w:t>2</w:t>
      </w:r>
      <w:r w:rsidR="001F6B2B">
        <w:t>1</w:t>
      </w:r>
      <w:r w:rsidRPr="00C4352C">
        <w:t xml:space="preserve"> (AEO 20</w:t>
      </w:r>
      <w:r>
        <w:t>2</w:t>
      </w:r>
      <w:r w:rsidR="00042114">
        <w:t>1</w:t>
      </w:r>
      <w:r w:rsidRPr="00C4352C">
        <w:t>) for the region</w:t>
      </w:r>
    </w:p>
    <w:p w14:paraId="0401C17A" w14:textId="758AF58D" w:rsidR="00042114" w:rsidRDefault="00042114" w:rsidP="00042114">
      <w:pPr>
        <w:numPr>
          <w:ilvl w:val="0"/>
          <w:numId w:val="2"/>
        </w:numPr>
      </w:pPr>
      <w:r>
        <w:t>Motor Fuel Taxes and Decal Fees (SB</w:t>
      </w:r>
      <w:r w:rsidR="00A12972">
        <w:t>-</w:t>
      </w:r>
      <w:r>
        <w:t>262)</w:t>
      </w:r>
    </w:p>
    <w:p w14:paraId="1790732A" w14:textId="19D91A57" w:rsidR="008A69F8" w:rsidRPr="00C4352C" w:rsidRDefault="00042114" w:rsidP="00042114">
      <w:pPr>
        <w:numPr>
          <w:ilvl w:val="1"/>
          <w:numId w:val="2"/>
        </w:numPr>
      </w:pPr>
      <w:r>
        <w:t>Based on Committee on Legislative Research Oversi</w:t>
      </w:r>
      <w:r w:rsidR="00D46D07">
        <w:t>ght</w:t>
      </w:r>
      <w:r>
        <w:t xml:space="preserve"> </w:t>
      </w:r>
      <w:r w:rsidR="00D46D07">
        <w:t>D</w:t>
      </w:r>
      <w:r>
        <w:t>ivision</w:t>
      </w:r>
      <w:r w:rsidR="00D46D07">
        <w:t>’s</w:t>
      </w:r>
      <w:r>
        <w:t xml:space="preserve"> fiscal note of April 6, 2021</w:t>
      </w:r>
      <w:r w:rsidR="00C06D27">
        <w:t>;</w:t>
      </w:r>
      <w:r w:rsidR="001248B7">
        <w:t xml:space="preserve"> </w:t>
      </w:r>
      <w:r>
        <w:t xml:space="preserve">FY2020 gallons </w:t>
      </w:r>
      <w:r w:rsidR="001248B7">
        <w:t xml:space="preserve">with </w:t>
      </w:r>
      <w:r>
        <w:t xml:space="preserve">20 percent </w:t>
      </w:r>
      <w:r w:rsidR="00BA5E67">
        <w:t>refund</w:t>
      </w:r>
      <w:r w:rsidR="001248B7">
        <w:t>s</w:t>
      </w:r>
    </w:p>
    <w:p w14:paraId="1B9EE2CF" w14:textId="77777777" w:rsidR="008A69F8" w:rsidRPr="008F461D" w:rsidRDefault="008A69F8" w:rsidP="008A69F8">
      <w:pPr>
        <w:numPr>
          <w:ilvl w:val="0"/>
          <w:numId w:val="2"/>
        </w:numPr>
        <w:rPr>
          <w:color w:val="000000"/>
        </w:rPr>
      </w:pPr>
      <w:r w:rsidRPr="008F461D">
        <w:rPr>
          <w:color w:val="000000"/>
        </w:rPr>
        <w:t xml:space="preserve">Motor </w:t>
      </w:r>
      <w:r>
        <w:rPr>
          <w:color w:val="000000"/>
        </w:rPr>
        <w:t>V</w:t>
      </w:r>
      <w:r w:rsidRPr="008F461D">
        <w:rPr>
          <w:color w:val="000000"/>
        </w:rPr>
        <w:t xml:space="preserve">ehicle </w:t>
      </w:r>
      <w:r>
        <w:rPr>
          <w:color w:val="000000"/>
        </w:rPr>
        <w:t>S</w:t>
      </w:r>
      <w:r w:rsidRPr="008F461D">
        <w:rPr>
          <w:color w:val="000000"/>
        </w:rPr>
        <w:t xml:space="preserve">ales </w:t>
      </w:r>
      <w:r>
        <w:rPr>
          <w:color w:val="000000"/>
        </w:rPr>
        <w:t>T</w:t>
      </w:r>
      <w:r w:rsidRPr="008F461D">
        <w:rPr>
          <w:color w:val="000000"/>
        </w:rPr>
        <w:t>axes</w:t>
      </w:r>
    </w:p>
    <w:p w14:paraId="396FDCCA" w14:textId="2D3D519B" w:rsidR="008A69F8" w:rsidRPr="00C4352C" w:rsidRDefault="001248B7" w:rsidP="008A69F8">
      <w:pPr>
        <w:numPr>
          <w:ilvl w:val="1"/>
          <w:numId w:val="2"/>
        </w:numPr>
      </w:pPr>
      <w:r>
        <w:t xml:space="preserve">Decline to </w:t>
      </w:r>
      <w:r w:rsidR="00BA5E67">
        <w:t>pre</w:t>
      </w:r>
      <w:r>
        <w:t>-</w:t>
      </w:r>
      <w:r w:rsidR="008A69F8">
        <w:t xml:space="preserve">COVID19 </w:t>
      </w:r>
      <w:r>
        <w:t>level (actual 2020) plus 3</w:t>
      </w:r>
      <w:r w:rsidR="00C06D27">
        <w:t>.0</w:t>
      </w:r>
      <w:r>
        <w:t xml:space="preserve"> percent growth for 2022</w:t>
      </w:r>
    </w:p>
    <w:p w14:paraId="13761710" w14:textId="1119DC1D" w:rsidR="008A69F8" w:rsidRDefault="008A69F8" w:rsidP="008A69F8">
      <w:pPr>
        <w:numPr>
          <w:ilvl w:val="1"/>
          <w:numId w:val="2"/>
        </w:numPr>
      </w:pPr>
      <w:r w:rsidRPr="00C4352C">
        <w:t xml:space="preserve">Annual growth rate </w:t>
      </w:r>
      <w:r w:rsidR="001248B7">
        <w:t xml:space="preserve">of 2.0 percent for </w:t>
      </w:r>
      <w:r>
        <w:t>202</w:t>
      </w:r>
      <w:r w:rsidR="00BA5E67">
        <w:t>3</w:t>
      </w:r>
      <w:r w:rsidR="00C06D27">
        <w:t>-</w:t>
      </w:r>
      <w:r w:rsidRPr="00C4352C">
        <w:t>202</w:t>
      </w:r>
      <w:r w:rsidR="00BA5E67">
        <w:t>4</w:t>
      </w:r>
    </w:p>
    <w:p w14:paraId="345F86F2" w14:textId="69B8220C" w:rsidR="008A69F8" w:rsidRPr="00C4352C" w:rsidRDefault="008A69F8" w:rsidP="008A69F8">
      <w:pPr>
        <w:numPr>
          <w:ilvl w:val="1"/>
          <w:numId w:val="2"/>
        </w:numPr>
      </w:pPr>
      <w:r>
        <w:t xml:space="preserve">Annual growth rate </w:t>
      </w:r>
      <w:r w:rsidR="001248B7">
        <w:t xml:space="preserve">of 3.0 percent </w:t>
      </w:r>
      <w:r>
        <w:t>for 202</w:t>
      </w:r>
      <w:r w:rsidR="00BA5E67">
        <w:t>5</w:t>
      </w:r>
      <w:r>
        <w:t xml:space="preserve"> and beyond</w:t>
      </w:r>
    </w:p>
    <w:p w14:paraId="4FC8CC5A" w14:textId="7B76FE65" w:rsidR="008A69F8" w:rsidRPr="00C4352C" w:rsidRDefault="008A69F8" w:rsidP="008A69F8">
      <w:pPr>
        <w:numPr>
          <w:ilvl w:val="1"/>
          <w:numId w:val="2"/>
        </w:numPr>
      </w:pPr>
      <w:r w:rsidRPr="00C4352C">
        <w:t>Based on historical data</w:t>
      </w:r>
      <w:r>
        <w:t xml:space="preserve"> and </w:t>
      </w:r>
      <w:r w:rsidRPr="00C4352C">
        <w:t>projections from the AEO 20</w:t>
      </w:r>
      <w:r>
        <w:t>2</w:t>
      </w:r>
      <w:r w:rsidR="00BA5E67">
        <w:t>1</w:t>
      </w:r>
      <w:r w:rsidRPr="00C4352C">
        <w:t xml:space="preserve"> </w:t>
      </w:r>
    </w:p>
    <w:p w14:paraId="65547BC0" w14:textId="77777777" w:rsidR="008A69F8" w:rsidRPr="00C4352C" w:rsidRDefault="008A69F8" w:rsidP="008A69F8">
      <w:pPr>
        <w:numPr>
          <w:ilvl w:val="0"/>
          <w:numId w:val="2"/>
        </w:numPr>
      </w:pPr>
      <w:r w:rsidRPr="00C4352C">
        <w:t xml:space="preserve">Motor </w:t>
      </w:r>
      <w:r>
        <w:t>V</w:t>
      </w:r>
      <w:r w:rsidRPr="00C4352C">
        <w:t xml:space="preserve">ehicle and </w:t>
      </w:r>
      <w:r>
        <w:t>D</w:t>
      </w:r>
      <w:r w:rsidRPr="00C4352C">
        <w:t xml:space="preserve">river </w:t>
      </w:r>
      <w:r>
        <w:t>L</w:t>
      </w:r>
      <w:r w:rsidRPr="00C4352C">
        <w:t xml:space="preserve">icensing </w:t>
      </w:r>
      <w:r>
        <w:t>F</w:t>
      </w:r>
      <w:r w:rsidRPr="00C4352C">
        <w:t>ees</w:t>
      </w:r>
    </w:p>
    <w:p w14:paraId="18CDC837" w14:textId="48FC26F7" w:rsidR="00BA5E67" w:rsidRDefault="001248B7" w:rsidP="008A69F8">
      <w:pPr>
        <w:numPr>
          <w:ilvl w:val="1"/>
          <w:numId w:val="2"/>
        </w:numPr>
      </w:pPr>
      <w:r>
        <w:t xml:space="preserve">Decline to </w:t>
      </w:r>
      <w:r w:rsidR="00BA5E67">
        <w:t>pre</w:t>
      </w:r>
      <w:r>
        <w:t>-</w:t>
      </w:r>
      <w:r w:rsidR="00BA5E67">
        <w:t xml:space="preserve">COVID19 </w:t>
      </w:r>
      <w:r>
        <w:t>level</w:t>
      </w:r>
      <w:r w:rsidR="009A6207">
        <w:t xml:space="preserve"> (actual 2020) plus 1.5 percent growth for 2022</w:t>
      </w:r>
    </w:p>
    <w:p w14:paraId="751C5388" w14:textId="7DE5FC2F" w:rsidR="008A69F8" w:rsidRDefault="00BA5E67" w:rsidP="008A69F8">
      <w:pPr>
        <w:numPr>
          <w:ilvl w:val="1"/>
          <w:numId w:val="2"/>
        </w:numPr>
      </w:pPr>
      <w:r>
        <w:t xml:space="preserve">Annual growth rate </w:t>
      </w:r>
      <w:r w:rsidR="009A6207">
        <w:t xml:space="preserve">of 1.5 percent for </w:t>
      </w:r>
      <w:r>
        <w:t>2023</w:t>
      </w:r>
      <w:r w:rsidR="008A69F8">
        <w:t xml:space="preserve"> and beyond</w:t>
      </w:r>
    </w:p>
    <w:p w14:paraId="32E40938" w14:textId="547D2637" w:rsidR="008A69F8" w:rsidRPr="00C4352C" w:rsidRDefault="008A69F8" w:rsidP="008A69F8">
      <w:pPr>
        <w:numPr>
          <w:ilvl w:val="1"/>
          <w:numId w:val="1"/>
        </w:numPr>
      </w:pPr>
      <w:r w:rsidRPr="00C4352C">
        <w:t>Based on historical data</w:t>
      </w:r>
      <w:r>
        <w:t>, population over the age of 16 projections from the AEO 202</w:t>
      </w:r>
      <w:r w:rsidR="007B3F6F">
        <w:t>1</w:t>
      </w:r>
      <w:r w:rsidRPr="00C4352C">
        <w:t xml:space="preserve"> and driver licensing renewal data from the Department of Revenue </w:t>
      </w:r>
    </w:p>
    <w:p w14:paraId="714269EE" w14:textId="77777777" w:rsidR="008A69F8" w:rsidRPr="008F461D" w:rsidRDefault="008A69F8" w:rsidP="008A69F8">
      <w:pPr>
        <w:numPr>
          <w:ilvl w:val="0"/>
          <w:numId w:val="2"/>
        </w:numPr>
        <w:rPr>
          <w:color w:val="000000"/>
        </w:rPr>
      </w:pPr>
      <w:r w:rsidRPr="008F461D">
        <w:rPr>
          <w:color w:val="000000"/>
        </w:rPr>
        <w:t xml:space="preserve">Interest and </w:t>
      </w:r>
      <w:r>
        <w:rPr>
          <w:color w:val="000000"/>
        </w:rPr>
        <w:t>M</w:t>
      </w:r>
      <w:r w:rsidRPr="008F461D">
        <w:rPr>
          <w:color w:val="000000"/>
        </w:rPr>
        <w:t>iscellaneous</w:t>
      </w:r>
    </w:p>
    <w:p w14:paraId="1BE6BF55" w14:textId="1607B611" w:rsidR="008A69F8" w:rsidRPr="008F461D" w:rsidRDefault="008A69F8" w:rsidP="008A69F8">
      <w:pPr>
        <w:numPr>
          <w:ilvl w:val="1"/>
          <w:numId w:val="2"/>
        </w:numPr>
        <w:rPr>
          <w:color w:val="000000" w:themeColor="text1"/>
        </w:rPr>
      </w:pPr>
      <w:r w:rsidRPr="008F461D">
        <w:rPr>
          <w:color w:val="000000" w:themeColor="text1"/>
        </w:rPr>
        <w:t>Interest projections are based on monthly cash balanc</w:t>
      </w:r>
      <w:r w:rsidRPr="00796096">
        <w:t xml:space="preserve">es with a </w:t>
      </w:r>
      <w:r>
        <w:t>0.</w:t>
      </w:r>
      <w:r w:rsidR="007B3F6F">
        <w:t>43</w:t>
      </w:r>
      <w:r w:rsidRPr="00796096">
        <w:t xml:space="preserve"> percent </w:t>
      </w:r>
      <w:r w:rsidRPr="008F461D">
        <w:rPr>
          <w:color w:val="000000" w:themeColor="text1"/>
        </w:rPr>
        <w:t xml:space="preserve">earnings rate </w:t>
      </w:r>
    </w:p>
    <w:p w14:paraId="7E46DAB2" w14:textId="7E01F878" w:rsidR="008A69F8" w:rsidRPr="008F461D" w:rsidRDefault="008A69F8" w:rsidP="008A69F8">
      <w:pPr>
        <w:numPr>
          <w:ilvl w:val="1"/>
          <w:numId w:val="2"/>
        </w:numPr>
        <w:rPr>
          <w:color w:val="000000" w:themeColor="text1"/>
        </w:rPr>
      </w:pPr>
      <w:r w:rsidRPr="008F461D">
        <w:rPr>
          <w:color w:val="000000" w:themeColor="text1"/>
        </w:rPr>
        <w:t xml:space="preserve">Miscellaneous revenue </w:t>
      </w:r>
      <w:r w:rsidRPr="008F461D">
        <w:rPr>
          <w:color w:val="000000"/>
        </w:rPr>
        <w:t>is based on average annual receipts of</w:t>
      </w:r>
      <w:r>
        <w:rPr>
          <w:color w:val="000000"/>
        </w:rPr>
        <w:t xml:space="preserve"> $4</w:t>
      </w:r>
      <w:r w:rsidR="007B3F6F">
        <w:rPr>
          <w:color w:val="000000"/>
        </w:rPr>
        <w:t>1</w:t>
      </w:r>
      <w:r>
        <w:rPr>
          <w:color w:val="000000"/>
        </w:rPr>
        <w:t xml:space="preserve">.0 million </w:t>
      </w:r>
      <w:r w:rsidRPr="008F461D">
        <w:rPr>
          <w:color w:val="000000"/>
        </w:rPr>
        <w:t>for incidentals and other fees plus reimbursements for partnering projects</w:t>
      </w:r>
    </w:p>
    <w:p w14:paraId="7454379B" w14:textId="2D4B7D8C" w:rsidR="008A69F8" w:rsidRPr="007B3F6F" w:rsidRDefault="008A69F8" w:rsidP="007B3F6F">
      <w:pPr>
        <w:numPr>
          <w:ilvl w:val="1"/>
          <w:numId w:val="2"/>
        </w:numPr>
        <w:rPr>
          <w:color w:val="000000" w:themeColor="text1"/>
        </w:rPr>
      </w:pPr>
      <w:r w:rsidRPr="008F461D">
        <w:rPr>
          <w:color w:val="000000" w:themeColor="text1"/>
        </w:rPr>
        <w:t>Cost Share Program</w:t>
      </w:r>
    </w:p>
    <w:p w14:paraId="5DE62852" w14:textId="77777777" w:rsidR="008A69F8" w:rsidRPr="008F461D" w:rsidRDefault="008A69F8" w:rsidP="008A69F8">
      <w:pPr>
        <w:numPr>
          <w:ilvl w:val="2"/>
          <w:numId w:val="14"/>
        </w:numPr>
        <w:rPr>
          <w:color w:val="000000"/>
        </w:rPr>
      </w:pPr>
      <w:r w:rsidRPr="008F461D">
        <w:rPr>
          <w:color w:val="000000"/>
        </w:rPr>
        <w:t>$35</w:t>
      </w:r>
      <w:r>
        <w:rPr>
          <w:color w:val="000000"/>
        </w:rPr>
        <w:t>.0</w:t>
      </w:r>
      <w:r w:rsidRPr="008F461D">
        <w:rPr>
          <w:color w:val="000000"/>
        </w:rPr>
        <w:t xml:space="preserve"> million for 2022</w:t>
      </w:r>
    </w:p>
    <w:p w14:paraId="61A5CB19" w14:textId="77777777" w:rsidR="008A69F8" w:rsidRPr="008F461D" w:rsidRDefault="008A69F8" w:rsidP="008A69F8">
      <w:pPr>
        <w:numPr>
          <w:ilvl w:val="2"/>
          <w:numId w:val="14"/>
        </w:numPr>
        <w:rPr>
          <w:color w:val="000000"/>
        </w:rPr>
      </w:pPr>
      <w:r w:rsidRPr="008F461D">
        <w:rPr>
          <w:color w:val="000000"/>
        </w:rPr>
        <w:t>$40</w:t>
      </w:r>
      <w:r>
        <w:rPr>
          <w:color w:val="000000"/>
        </w:rPr>
        <w:t>.0</w:t>
      </w:r>
      <w:r w:rsidRPr="008F461D">
        <w:rPr>
          <w:color w:val="000000"/>
        </w:rPr>
        <w:t xml:space="preserve"> million for 2023</w:t>
      </w:r>
    </w:p>
    <w:p w14:paraId="306D5AD8" w14:textId="77777777" w:rsidR="008A69F8" w:rsidRDefault="008A69F8" w:rsidP="008A69F8">
      <w:pPr>
        <w:numPr>
          <w:ilvl w:val="2"/>
          <w:numId w:val="14"/>
        </w:numPr>
        <w:rPr>
          <w:color w:val="000000"/>
        </w:rPr>
      </w:pPr>
      <w:r w:rsidRPr="008F461D">
        <w:rPr>
          <w:color w:val="000000"/>
        </w:rPr>
        <w:t>$45</w:t>
      </w:r>
      <w:r>
        <w:rPr>
          <w:color w:val="000000"/>
        </w:rPr>
        <w:t>.0</w:t>
      </w:r>
      <w:r w:rsidRPr="008F461D">
        <w:rPr>
          <w:color w:val="000000"/>
        </w:rPr>
        <w:t xml:space="preserve"> million for 2024 and beyond</w:t>
      </w:r>
    </w:p>
    <w:p w14:paraId="6E42E55C" w14:textId="77777777" w:rsidR="008A69F8" w:rsidRPr="00F86372" w:rsidRDefault="008A69F8" w:rsidP="008A69F8">
      <w:pPr>
        <w:numPr>
          <w:ilvl w:val="0"/>
          <w:numId w:val="3"/>
        </w:numPr>
      </w:pPr>
      <w:r w:rsidRPr="00F86372">
        <w:t>Federal Reimbursements</w:t>
      </w:r>
    </w:p>
    <w:p w14:paraId="1765F2E9" w14:textId="75D12206" w:rsidR="008A69F8" w:rsidRPr="00B555E7" w:rsidRDefault="009A6207" w:rsidP="008A69F8">
      <w:pPr>
        <w:numPr>
          <w:ilvl w:val="0"/>
          <w:numId w:val="4"/>
        </w:numPr>
      </w:pPr>
      <w:r w:rsidRPr="00B555E7">
        <w:rPr>
          <w:color w:val="000000"/>
        </w:rPr>
        <w:t>B</w:t>
      </w:r>
      <w:r w:rsidR="008A69F8" w:rsidRPr="00B555E7">
        <w:rPr>
          <w:color w:val="000000"/>
        </w:rPr>
        <w:t xml:space="preserve">ased on </w:t>
      </w:r>
      <w:r w:rsidR="007B3F6F" w:rsidRPr="00B555E7">
        <w:rPr>
          <w:color w:val="000000"/>
        </w:rPr>
        <w:t>Infra</w:t>
      </w:r>
      <w:r w:rsidR="00625600" w:rsidRPr="00B555E7">
        <w:rPr>
          <w:color w:val="000000"/>
        </w:rPr>
        <w:t>stru</w:t>
      </w:r>
      <w:r w:rsidR="007B3F6F" w:rsidRPr="00B555E7">
        <w:rPr>
          <w:color w:val="000000"/>
        </w:rPr>
        <w:t>cture Investment and Jobs</w:t>
      </w:r>
      <w:r w:rsidR="008A69F8" w:rsidRPr="00B555E7">
        <w:rPr>
          <w:color w:val="000000"/>
        </w:rPr>
        <w:t xml:space="preserve"> Act</w:t>
      </w:r>
      <w:r w:rsidR="007B3F6F" w:rsidRPr="00B555E7">
        <w:rPr>
          <w:color w:val="000000"/>
        </w:rPr>
        <w:t xml:space="preserve"> (IIJA)</w:t>
      </w:r>
      <w:r w:rsidRPr="00B555E7">
        <w:rPr>
          <w:color w:val="000000"/>
        </w:rPr>
        <w:t xml:space="preserve"> </w:t>
      </w:r>
      <w:r w:rsidR="007F0875" w:rsidRPr="00B555E7">
        <w:rPr>
          <w:color w:val="000000"/>
        </w:rPr>
        <w:t xml:space="preserve">Federal-aid Highway </w:t>
      </w:r>
      <w:r w:rsidR="00041E87" w:rsidRPr="00B555E7">
        <w:rPr>
          <w:color w:val="000000"/>
        </w:rPr>
        <w:t>Apportioned P</w:t>
      </w:r>
      <w:r w:rsidRPr="00B555E7">
        <w:rPr>
          <w:color w:val="000000"/>
        </w:rPr>
        <w:t>rogram</w:t>
      </w:r>
      <w:r w:rsidR="007F0875" w:rsidRPr="00B555E7">
        <w:rPr>
          <w:color w:val="000000"/>
        </w:rPr>
        <w:t>s</w:t>
      </w:r>
      <w:r w:rsidRPr="00B555E7">
        <w:rPr>
          <w:color w:val="000000"/>
        </w:rPr>
        <w:t xml:space="preserve"> </w:t>
      </w:r>
      <w:r w:rsidR="00041E87" w:rsidRPr="00B555E7">
        <w:rPr>
          <w:color w:val="000000"/>
        </w:rPr>
        <w:t>and General Fund Supplemental Appropriations</w:t>
      </w:r>
      <w:r w:rsidR="007F0875" w:rsidRPr="00B555E7">
        <w:rPr>
          <w:color w:val="000000"/>
        </w:rPr>
        <w:t xml:space="preserve"> for </w:t>
      </w:r>
      <w:r w:rsidR="00041E87" w:rsidRPr="00B555E7">
        <w:rPr>
          <w:color w:val="000000"/>
        </w:rPr>
        <w:t>Bridge</w:t>
      </w:r>
      <w:r w:rsidR="007F0875" w:rsidRPr="00B555E7">
        <w:rPr>
          <w:color w:val="000000"/>
        </w:rPr>
        <w:t xml:space="preserve"> Replacement, Rehabilitation, Preservation, Protection &amp; Construction and National Vehicle Electric Formula Programs</w:t>
      </w:r>
    </w:p>
    <w:p w14:paraId="7FCBC689" w14:textId="77777777" w:rsidR="00C5458F" w:rsidRPr="00B555E7" w:rsidRDefault="008A69F8" w:rsidP="008A69F8">
      <w:pPr>
        <w:numPr>
          <w:ilvl w:val="1"/>
          <w:numId w:val="11"/>
        </w:numPr>
      </w:pPr>
      <w:r w:rsidRPr="00B555E7">
        <w:rPr>
          <w:color w:val="000000"/>
        </w:rPr>
        <w:t>$1,</w:t>
      </w:r>
      <w:r w:rsidR="00C5458F" w:rsidRPr="00B555E7">
        <w:rPr>
          <w:color w:val="000000"/>
        </w:rPr>
        <w:t>254</w:t>
      </w:r>
      <w:r w:rsidRPr="00B555E7">
        <w:rPr>
          <w:color w:val="000000"/>
        </w:rPr>
        <w:t>.</w:t>
      </w:r>
      <w:r w:rsidR="00C5458F" w:rsidRPr="00B555E7">
        <w:rPr>
          <w:color w:val="000000"/>
        </w:rPr>
        <w:t>2</w:t>
      </w:r>
      <w:r w:rsidRPr="00B555E7">
        <w:rPr>
          <w:color w:val="000000"/>
        </w:rPr>
        <w:t xml:space="preserve"> million for 202</w:t>
      </w:r>
      <w:r w:rsidR="007B3F6F" w:rsidRPr="00B555E7">
        <w:rPr>
          <w:color w:val="000000"/>
        </w:rPr>
        <w:t>2</w:t>
      </w:r>
    </w:p>
    <w:p w14:paraId="24A89F35" w14:textId="77777777" w:rsidR="00C5458F" w:rsidRPr="00B555E7" w:rsidRDefault="00C5458F" w:rsidP="008A69F8">
      <w:pPr>
        <w:numPr>
          <w:ilvl w:val="1"/>
          <w:numId w:val="11"/>
        </w:numPr>
      </w:pPr>
      <w:r w:rsidRPr="00B555E7">
        <w:rPr>
          <w:color w:val="000000"/>
        </w:rPr>
        <w:t>$1,279.3 million for 2023</w:t>
      </w:r>
    </w:p>
    <w:p w14:paraId="6C2E13B6" w14:textId="1C76EA88" w:rsidR="00C5458F" w:rsidRPr="00B555E7" w:rsidRDefault="00C5458F" w:rsidP="008A69F8">
      <w:pPr>
        <w:numPr>
          <w:ilvl w:val="1"/>
          <w:numId w:val="11"/>
        </w:numPr>
      </w:pPr>
      <w:r w:rsidRPr="00B555E7">
        <w:rPr>
          <w:color w:val="000000"/>
        </w:rPr>
        <w:t>$1,</w:t>
      </w:r>
      <w:r w:rsidR="00041E87" w:rsidRPr="00B555E7">
        <w:rPr>
          <w:color w:val="000000"/>
        </w:rPr>
        <w:t>499.2</w:t>
      </w:r>
      <w:r w:rsidRPr="00B555E7">
        <w:rPr>
          <w:color w:val="000000"/>
        </w:rPr>
        <w:t xml:space="preserve"> million for 2024</w:t>
      </w:r>
    </w:p>
    <w:p w14:paraId="3C0479BB" w14:textId="389F47FB" w:rsidR="00C5458F" w:rsidRPr="00B555E7" w:rsidRDefault="00C5458F" w:rsidP="008A69F8">
      <w:pPr>
        <w:numPr>
          <w:ilvl w:val="1"/>
          <w:numId w:val="11"/>
        </w:numPr>
      </w:pPr>
      <w:r w:rsidRPr="00B555E7">
        <w:rPr>
          <w:color w:val="000000"/>
        </w:rPr>
        <w:t>$1,</w:t>
      </w:r>
      <w:r w:rsidR="00041E87" w:rsidRPr="00B555E7">
        <w:rPr>
          <w:color w:val="000000"/>
        </w:rPr>
        <w:t>525.3</w:t>
      </w:r>
      <w:r w:rsidRPr="00B555E7">
        <w:rPr>
          <w:color w:val="000000"/>
        </w:rPr>
        <w:t xml:space="preserve"> million for 2025</w:t>
      </w:r>
    </w:p>
    <w:p w14:paraId="5E2CD9E7" w14:textId="77777777" w:rsidR="007F0875" w:rsidRPr="00B555E7" w:rsidRDefault="007F0875" w:rsidP="007F0875">
      <w:pPr>
        <w:pStyle w:val="Heading1"/>
        <w:rPr>
          <w:bCs w:val="0"/>
          <w:sz w:val="28"/>
          <w:szCs w:val="28"/>
          <w:u w:val="none"/>
        </w:rPr>
      </w:pPr>
      <w:r w:rsidRPr="00B555E7">
        <w:rPr>
          <w:bCs w:val="0"/>
          <w:sz w:val="28"/>
          <w:szCs w:val="28"/>
          <w:u w:val="none"/>
        </w:rPr>
        <w:lastRenderedPageBreak/>
        <w:t>Revenues (cont’d)</w:t>
      </w:r>
    </w:p>
    <w:p w14:paraId="17D22E32" w14:textId="77777777" w:rsidR="00041E87" w:rsidRPr="00B555E7" w:rsidRDefault="00C5458F" w:rsidP="008A69F8">
      <w:pPr>
        <w:numPr>
          <w:ilvl w:val="1"/>
          <w:numId w:val="11"/>
        </w:numPr>
      </w:pPr>
      <w:r w:rsidRPr="00B555E7">
        <w:rPr>
          <w:color w:val="000000"/>
        </w:rPr>
        <w:t>$1,</w:t>
      </w:r>
      <w:r w:rsidR="00041E87" w:rsidRPr="00B555E7">
        <w:rPr>
          <w:color w:val="000000"/>
        </w:rPr>
        <w:t>552.0</w:t>
      </w:r>
      <w:r w:rsidRPr="00B555E7">
        <w:rPr>
          <w:color w:val="000000"/>
        </w:rPr>
        <w:t xml:space="preserve"> million for 2026</w:t>
      </w:r>
      <w:r w:rsidR="008A69F8" w:rsidRPr="00B555E7">
        <w:rPr>
          <w:color w:val="000000"/>
        </w:rPr>
        <w:t xml:space="preserve"> </w:t>
      </w:r>
    </w:p>
    <w:p w14:paraId="3D248B1E" w14:textId="73134447" w:rsidR="008A69F8" w:rsidRPr="00B555E7" w:rsidRDefault="00041E87" w:rsidP="008A69F8">
      <w:pPr>
        <w:numPr>
          <w:ilvl w:val="1"/>
          <w:numId w:val="11"/>
        </w:numPr>
      </w:pPr>
      <w:r w:rsidRPr="00B555E7">
        <w:rPr>
          <w:color w:val="000000"/>
        </w:rPr>
        <w:t>$1</w:t>
      </w:r>
      <w:r w:rsidR="007F0875" w:rsidRPr="00B555E7">
        <w:rPr>
          <w:color w:val="000000"/>
        </w:rPr>
        <w:t>,</w:t>
      </w:r>
      <w:r w:rsidRPr="00B555E7">
        <w:rPr>
          <w:color w:val="000000"/>
        </w:rPr>
        <w:t xml:space="preserve">357.6 for 2027 </w:t>
      </w:r>
      <w:r w:rsidR="008A69F8" w:rsidRPr="00B555E7">
        <w:rPr>
          <w:color w:val="000000"/>
        </w:rPr>
        <w:t>and beyond</w:t>
      </w:r>
    </w:p>
    <w:p w14:paraId="3523DBD7" w14:textId="491837F5" w:rsidR="008A69F8" w:rsidRPr="00B555E7" w:rsidRDefault="008A69F8" w:rsidP="007B3F6F">
      <w:pPr>
        <w:numPr>
          <w:ilvl w:val="0"/>
          <w:numId w:val="11"/>
        </w:numPr>
      </w:pPr>
      <w:r w:rsidRPr="00B555E7">
        <w:rPr>
          <w:color w:val="000000"/>
        </w:rPr>
        <w:t>Rocheport Bridge and Mineola Hill INFRA grant of $</w:t>
      </w:r>
      <w:r w:rsidR="009A6207" w:rsidRPr="00B555E7">
        <w:rPr>
          <w:color w:val="000000"/>
        </w:rPr>
        <w:t>81.2</w:t>
      </w:r>
      <w:r w:rsidRPr="00B555E7">
        <w:rPr>
          <w:color w:val="000000"/>
        </w:rPr>
        <w:t xml:space="preserve"> million</w:t>
      </w:r>
    </w:p>
    <w:p w14:paraId="3BB5A451" w14:textId="3256D39A" w:rsidR="008A69F8" w:rsidRPr="00B555E7" w:rsidRDefault="008A69F8" w:rsidP="008A69F8">
      <w:pPr>
        <w:numPr>
          <w:ilvl w:val="0"/>
          <w:numId w:val="11"/>
        </w:numPr>
      </w:pPr>
      <w:r w:rsidRPr="00B555E7">
        <w:t>Highway Infrastructure Program allocation of $1</w:t>
      </w:r>
      <w:r w:rsidR="007B3F6F" w:rsidRPr="00B555E7">
        <w:t>12.4</w:t>
      </w:r>
      <w:r w:rsidRPr="00B555E7">
        <w:t xml:space="preserve"> million</w:t>
      </w:r>
    </w:p>
    <w:p w14:paraId="426D8FC4" w14:textId="18AFA1C2" w:rsidR="008A69F8" w:rsidRPr="00B555E7" w:rsidRDefault="008A69F8" w:rsidP="008A69F8">
      <w:pPr>
        <w:numPr>
          <w:ilvl w:val="1"/>
          <w:numId w:val="11"/>
        </w:numPr>
      </w:pPr>
      <w:r w:rsidRPr="00B555E7">
        <w:t>Suballocation to Large Urban Areas of $</w:t>
      </w:r>
      <w:r w:rsidR="007B3F6F" w:rsidRPr="00B555E7">
        <w:t>43</w:t>
      </w:r>
      <w:r w:rsidRPr="00B555E7">
        <w:t>.0 million</w:t>
      </w:r>
    </w:p>
    <w:p w14:paraId="003131F7" w14:textId="3753B338" w:rsidR="008A69F8" w:rsidRPr="00B555E7" w:rsidRDefault="008A69F8" w:rsidP="008A69F8">
      <w:pPr>
        <w:numPr>
          <w:ilvl w:val="0"/>
          <w:numId w:val="11"/>
        </w:numPr>
      </w:pPr>
      <w:r w:rsidRPr="00B555E7">
        <w:t>Highway Infrastructure Bridge Program allocation of $</w:t>
      </w:r>
      <w:r w:rsidR="007B3F6F" w:rsidRPr="00B555E7">
        <w:t>82.1</w:t>
      </w:r>
      <w:r w:rsidRPr="00B555E7">
        <w:t xml:space="preserve"> million</w:t>
      </w:r>
    </w:p>
    <w:p w14:paraId="7A568973" w14:textId="77777777" w:rsidR="008A69F8" w:rsidRPr="00B555E7" w:rsidRDefault="008A69F8" w:rsidP="008A69F8">
      <w:pPr>
        <w:numPr>
          <w:ilvl w:val="0"/>
          <w:numId w:val="11"/>
        </w:numPr>
      </w:pPr>
      <w:r w:rsidRPr="00B555E7">
        <w:t>Emergency Relief (ER) funds of $16.9 million for Northwest flood resiliency projects</w:t>
      </w:r>
    </w:p>
    <w:p w14:paraId="6E11DFCD" w14:textId="77777777" w:rsidR="008A69F8" w:rsidRPr="00B555E7" w:rsidRDefault="008A69F8" w:rsidP="008A69F8">
      <w:pPr>
        <w:numPr>
          <w:ilvl w:val="0"/>
          <w:numId w:val="4"/>
        </w:numPr>
      </w:pPr>
      <w:r w:rsidRPr="00B555E7">
        <w:rPr>
          <w:color w:val="000000" w:themeColor="text1"/>
        </w:rPr>
        <w:t>Assumptions:</w:t>
      </w:r>
    </w:p>
    <w:p w14:paraId="3EC3B874" w14:textId="09F36FF9" w:rsidR="008A69F8" w:rsidRPr="00B555E7" w:rsidRDefault="008A69F8" w:rsidP="008A69F8">
      <w:pPr>
        <w:numPr>
          <w:ilvl w:val="1"/>
          <w:numId w:val="12"/>
        </w:numPr>
      </w:pPr>
      <w:r w:rsidRPr="00B555E7">
        <w:rPr>
          <w:color w:val="000000"/>
        </w:rPr>
        <w:t>L</w:t>
      </w:r>
      <w:r w:rsidRPr="00B555E7">
        <w:rPr>
          <w:color w:val="000000" w:themeColor="text1"/>
        </w:rPr>
        <w:t>ocal public agen</w:t>
      </w:r>
      <w:r w:rsidRPr="00B555E7">
        <w:rPr>
          <w:color w:val="000000"/>
        </w:rPr>
        <w:t>cies will fully utilize annual allocations and carryover balance of $</w:t>
      </w:r>
      <w:r w:rsidR="007B3F6F" w:rsidRPr="00B555E7">
        <w:rPr>
          <w:color w:val="000000"/>
        </w:rPr>
        <w:t>80</w:t>
      </w:r>
      <w:r w:rsidRPr="00B555E7">
        <w:rPr>
          <w:color w:val="000000"/>
        </w:rPr>
        <w:t xml:space="preserve">.0 million </w:t>
      </w:r>
    </w:p>
    <w:p w14:paraId="75881314" w14:textId="42F14B5A" w:rsidR="008A69F8" w:rsidRPr="00B555E7" w:rsidRDefault="008A69F8" w:rsidP="008A69F8">
      <w:pPr>
        <w:pStyle w:val="ListParagraph"/>
        <w:numPr>
          <w:ilvl w:val="1"/>
          <w:numId w:val="12"/>
        </w:numPr>
      </w:pPr>
      <w:r w:rsidRPr="00B555E7">
        <w:rPr>
          <w:color w:val="000000"/>
        </w:rPr>
        <w:t xml:space="preserve">Preventative maintenance </w:t>
      </w:r>
      <w:r w:rsidRPr="00B555E7">
        <w:t>reimbursements of $6</w:t>
      </w:r>
      <w:r w:rsidR="007B3F6F" w:rsidRPr="00B555E7">
        <w:t>5</w:t>
      </w:r>
      <w:r w:rsidRPr="00B555E7">
        <w:t xml:space="preserve">.0 million, </w:t>
      </w:r>
      <w:r w:rsidRPr="00B555E7">
        <w:rPr>
          <w:color w:val="000000"/>
        </w:rPr>
        <w:t xml:space="preserve">annually </w:t>
      </w:r>
    </w:p>
    <w:p w14:paraId="0050D769" w14:textId="0CC32F49" w:rsidR="008A69F8" w:rsidRPr="00B555E7" w:rsidRDefault="008A69F8" w:rsidP="008A69F8">
      <w:pPr>
        <w:pStyle w:val="ListParagraph"/>
        <w:numPr>
          <w:ilvl w:val="1"/>
          <w:numId w:val="12"/>
        </w:numPr>
      </w:pPr>
      <w:r w:rsidRPr="00B555E7">
        <w:rPr>
          <w:color w:val="000000"/>
        </w:rPr>
        <w:t xml:space="preserve">Preliminary engineering (in-house) </w:t>
      </w:r>
      <w:r w:rsidRPr="00B555E7">
        <w:t>reimbursements of $1</w:t>
      </w:r>
      <w:r w:rsidR="00963870" w:rsidRPr="00B555E7">
        <w:t>7.5</w:t>
      </w:r>
      <w:r w:rsidRPr="00B555E7">
        <w:t xml:space="preserve"> million, </w:t>
      </w:r>
      <w:r w:rsidRPr="00B555E7">
        <w:rPr>
          <w:color w:val="000000"/>
        </w:rPr>
        <w:t xml:space="preserve">annually </w:t>
      </w:r>
    </w:p>
    <w:p w14:paraId="38649569" w14:textId="24D1679B" w:rsidR="008A69F8" w:rsidRPr="00B555E7" w:rsidRDefault="008A69F8" w:rsidP="008A69F8">
      <w:pPr>
        <w:pStyle w:val="ListParagraph"/>
        <w:numPr>
          <w:ilvl w:val="1"/>
          <w:numId w:val="12"/>
        </w:numPr>
      </w:pPr>
      <w:r w:rsidRPr="00B555E7">
        <w:rPr>
          <w:color w:val="000000"/>
        </w:rPr>
        <w:t xml:space="preserve">Construction engineering (in-house) </w:t>
      </w:r>
      <w:r w:rsidRPr="00B555E7">
        <w:t>reimbursements of $6</w:t>
      </w:r>
      <w:r w:rsidR="00963870" w:rsidRPr="00B555E7">
        <w:t>0</w:t>
      </w:r>
      <w:r w:rsidRPr="00B555E7">
        <w:t xml:space="preserve">.0 million, </w:t>
      </w:r>
      <w:r w:rsidRPr="00B555E7">
        <w:rPr>
          <w:color w:val="000000"/>
        </w:rPr>
        <w:t xml:space="preserve">annually </w:t>
      </w:r>
    </w:p>
    <w:p w14:paraId="05C4B4D1" w14:textId="77777777" w:rsidR="008A69F8" w:rsidRPr="00B555E7" w:rsidRDefault="008A69F8" w:rsidP="008A69F8">
      <w:pPr>
        <w:pStyle w:val="ListParagraph"/>
        <w:numPr>
          <w:ilvl w:val="1"/>
          <w:numId w:val="12"/>
        </w:numPr>
      </w:pPr>
      <w:r w:rsidRPr="00B555E7">
        <w:rPr>
          <w:color w:val="000000"/>
        </w:rPr>
        <w:t xml:space="preserve">Statewide planning and research (in-house) </w:t>
      </w:r>
      <w:r w:rsidRPr="00B555E7">
        <w:t xml:space="preserve">reimbursements of $20.0 million, </w:t>
      </w:r>
      <w:r w:rsidRPr="00B555E7">
        <w:rPr>
          <w:color w:val="000000"/>
        </w:rPr>
        <w:t xml:space="preserve">annually </w:t>
      </w:r>
    </w:p>
    <w:p w14:paraId="6659655A" w14:textId="77777777" w:rsidR="008A69F8" w:rsidRPr="00B555E7" w:rsidRDefault="008A69F8" w:rsidP="008A69F8">
      <w:pPr>
        <w:numPr>
          <w:ilvl w:val="0"/>
          <w:numId w:val="2"/>
        </w:numPr>
      </w:pPr>
      <w:r w:rsidRPr="00B555E7">
        <w:t>General Revenue</w:t>
      </w:r>
    </w:p>
    <w:p w14:paraId="0E922D14" w14:textId="53C8202B" w:rsidR="008A69F8" w:rsidRPr="00B555E7" w:rsidRDefault="008A69F8" w:rsidP="008A69F8">
      <w:pPr>
        <w:numPr>
          <w:ilvl w:val="0"/>
          <w:numId w:val="4"/>
        </w:numPr>
        <w:rPr>
          <w:color w:val="000000"/>
        </w:rPr>
      </w:pPr>
      <w:r w:rsidRPr="00B555E7">
        <w:rPr>
          <w:color w:val="000000"/>
        </w:rPr>
        <w:t>$2</w:t>
      </w:r>
      <w:r w:rsidR="00963870" w:rsidRPr="00B555E7">
        <w:rPr>
          <w:color w:val="000000"/>
        </w:rPr>
        <w:t>3.7</w:t>
      </w:r>
      <w:r w:rsidRPr="00B555E7">
        <w:rPr>
          <w:color w:val="000000"/>
        </w:rPr>
        <w:t xml:space="preserve"> million for the Governor’s Transportation Cost Share Program </w:t>
      </w:r>
    </w:p>
    <w:p w14:paraId="18D803A7" w14:textId="5AA9DAFD" w:rsidR="008A69F8" w:rsidRPr="00B555E7" w:rsidRDefault="008A69F8" w:rsidP="008A69F8">
      <w:pPr>
        <w:numPr>
          <w:ilvl w:val="0"/>
          <w:numId w:val="4"/>
        </w:numPr>
        <w:rPr>
          <w:color w:val="000000"/>
        </w:rPr>
      </w:pPr>
      <w:r w:rsidRPr="00B555E7">
        <w:rPr>
          <w:color w:val="000000"/>
        </w:rPr>
        <w:t>$4</w:t>
      </w:r>
      <w:r w:rsidR="009A6207" w:rsidRPr="00B555E7">
        <w:rPr>
          <w:color w:val="000000"/>
        </w:rPr>
        <w:t>5.</w:t>
      </w:r>
      <w:r w:rsidR="009B00A5" w:rsidRPr="00B555E7">
        <w:rPr>
          <w:color w:val="000000"/>
        </w:rPr>
        <w:t>2</w:t>
      </w:r>
      <w:r w:rsidRPr="00B555E7">
        <w:rPr>
          <w:color w:val="000000"/>
        </w:rPr>
        <w:t xml:space="preserve"> million for the Governor’s Focus on Bridges Program annual debt service payments for s</w:t>
      </w:r>
      <w:r w:rsidR="00963870" w:rsidRPr="00B555E7">
        <w:rPr>
          <w:color w:val="000000"/>
        </w:rPr>
        <w:t>ix</w:t>
      </w:r>
      <w:r w:rsidRPr="00B555E7">
        <w:rPr>
          <w:color w:val="000000"/>
        </w:rPr>
        <w:t xml:space="preserve"> years</w:t>
      </w:r>
    </w:p>
    <w:p w14:paraId="3210D7AA" w14:textId="77777777" w:rsidR="008A69F8" w:rsidRPr="00B555E7" w:rsidRDefault="008A69F8" w:rsidP="008A69F8">
      <w:pPr>
        <w:numPr>
          <w:ilvl w:val="0"/>
          <w:numId w:val="2"/>
        </w:numPr>
      </w:pPr>
      <w:r w:rsidRPr="00B555E7">
        <w:t>Bond and MTFC Loan Proceeds</w:t>
      </w:r>
    </w:p>
    <w:p w14:paraId="4B2E5EDD" w14:textId="657FCDD5" w:rsidR="008A69F8" w:rsidRPr="00B555E7" w:rsidRDefault="008A69F8" w:rsidP="008A69F8">
      <w:pPr>
        <w:numPr>
          <w:ilvl w:val="1"/>
          <w:numId w:val="1"/>
        </w:numPr>
      </w:pPr>
      <w:r w:rsidRPr="00B555E7">
        <w:t>Governor’s Focus on Bridges Program bond issuance</w:t>
      </w:r>
      <w:r w:rsidR="009A6207" w:rsidRPr="00B555E7">
        <w:t xml:space="preserve"> of $100.0 million </w:t>
      </w:r>
      <w:r w:rsidRPr="00B555E7">
        <w:t>in 2022</w:t>
      </w:r>
    </w:p>
    <w:p w14:paraId="7A24C2BF" w14:textId="20D71E88" w:rsidR="00963870" w:rsidRPr="00B555E7" w:rsidRDefault="00963870" w:rsidP="008A69F8">
      <w:pPr>
        <w:numPr>
          <w:ilvl w:val="1"/>
          <w:numId w:val="1"/>
        </w:numPr>
      </w:pPr>
      <w:r w:rsidRPr="00B555E7">
        <w:t>Amendment 3 bond issuance</w:t>
      </w:r>
      <w:r w:rsidR="009A6207" w:rsidRPr="00B555E7">
        <w:t xml:space="preserve"> of $500.0 million </w:t>
      </w:r>
      <w:r w:rsidRPr="00B555E7">
        <w:t>in 2023</w:t>
      </w:r>
    </w:p>
    <w:p w14:paraId="4CFA1069" w14:textId="77777777" w:rsidR="008A69F8" w:rsidRPr="00B555E7" w:rsidRDefault="008A69F8" w:rsidP="008A69F8">
      <w:pPr>
        <w:numPr>
          <w:ilvl w:val="1"/>
          <w:numId w:val="1"/>
        </w:numPr>
      </w:pPr>
      <w:r w:rsidRPr="00B555E7">
        <w:t>MTFC Loan of $62.5 million for the Rocheport Bridge and Mineola Hill INFRA Grant project</w:t>
      </w:r>
    </w:p>
    <w:p w14:paraId="30547AF7" w14:textId="77777777" w:rsidR="008A69F8" w:rsidRPr="00B555E7" w:rsidRDefault="008A69F8" w:rsidP="008A69F8">
      <w:pPr>
        <w:numPr>
          <w:ilvl w:val="2"/>
          <w:numId w:val="15"/>
        </w:numPr>
      </w:pPr>
      <w:r w:rsidRPr="00B555E7">
        <w:t>$24.4 million disbursement in 2023</w:t>
      </w:r>
    </w:p>
    <w:p w14:paraId="33FE2202" w14:textId="77777777" w:rsidR="008A69F8" w:rsidRPr="00B555E7" w:rsidRDefault="008A69F8" w:rsidP="008A69F8">
      <w:pPr>
        <w:numPr>
          <w:ilvl w:val="2"/>
          <w:numId w:val="15"/>
        </w:numPr>
      </w:pPr>
      <w:r w:rsidRPr="00B555E7">
        <w:t>$24.8 million disbursement in 2024</w:t>
      </w:r>
    </w:p>
    <w:p w14:paraId="376B7D1F" w14:textId="77777777" w:rsidR="008A69F8" w:rsidRPr="00B555E7" w:rsidRDefault="008A69F8" w:rsidP="008A69F8">
      <w:pPr>
        <w:numPr>
          <w:ilvl w:val="2"/>
          <w:numId w:val="15"/>
        </w:numPr>
      </w:pPr>
      <w:r w:rsidRPr="00B555E7">
        <w:t>$13.3 million disbursement in 2025</w:t>
      </w:r>
    </w:p>
    <w:p w14:paraId="31ABD24C" w14:textId="77777777" w:rsidR="008A69F8" w:rsidRPr="00B555E7" w:rsidRDefault="008A69F8" w:rsidP="008A69F8"/>
    <w:p w14:paraId="27AF84C1" w14:textId="77777777" w:rsidR="008A69F8" w:rsidRPr="00B555E7" w:rsidRDefault="008A69F8" w:rsidP="008A69F8">
      <w:pPr>
        <w:rPr>
          <w:b/>
          <w:sz w:val="28"/>
          <w:szCs w:val="28"/>
        </w:rPr>
      </w:pPr>
      <w:r w:rsidRPr="00B555E7">
        <w:rPr>
          <w:b/>
          <w:sz w:val="28"/>
          <w:szCs w:val="28"/>
        </w:rPr>
        <w:t>Disbursements</w:t>
      </w:r>
    </w:p>
    <w:p w14:paraId="13849D1C" w14:textId="77777777" w:rsidR="008A69F8" w:rsidRPr="00B555E7" w:rsidRDefault="008A69F8" w:rsidP="008A69F8">
      <w:pPr>
        <w:rPr>
          <w:b/>
          <w:sz w:val="16"/>
          <w:szCs w:val="16"/>
        </w:rPr>
      </w:pPr>
    </w:p>
    <w:p w14:paraId="618BE91A" w14:textId="77777777" w:rsidR="008A69F8" w:rsidRPr="00B555E7" w:rsidRDefault="008A69F8" w:rsidP="008A69F8">
      <w:pPr>
        <w:numPr>
          <w:ilvl w:val="0"/>
          <w:numId w:val="5"/>
        </w:numPr>
        <w:tabs>
          <w:tab w:val="num" w:pos="360"/>
          <w:tab w:val="left" w:pos="720"/>
          <w:tab w:val="left" w:pos="1440"/>
        </w:tabs>
        <w:ind w:hanging="720"/>
      </w:pPr>
      <w:r w:rsidRPr="00B555E7">
        <w:t>Operating Budget</w:t>
      </w:r>
    </w:p>
    <w:p w14:paraId="4F7A718C" w14:textId="7533874E" w:rsidR="008A69F8" w:rsidRPr="00B555E7" w:rsidRDefault="00354D18" w:rsidP="008A69F8">
      <w:pPr>
        <w:numPr>
          <w:ilvl w:val="1"/>
          <w:numId w:val="5"/>
        </w:numPr>
        <w:tabs>
          <w:tab w:val="num" w:pos="720"/>
        </w:tabs>
        <w:ind w:left="1080"/>
      </w:pPr>
      <w:r w:rsidRPr="00B555E7">
        <w:t xml:space="preserve">Personal </w:t>
      </w:r>
      <w:r w:rsidR="00053554" w:rsidRPr="00B555E7">
        <w:t>s</w:t>
      </w:r>
      <w:r w:rsidRPr="00B555E7">
        <w:t xml:space="preserve">ervices includes the 2.0 percent statewide </w:t>
      </w:r>
      <w:r w:rsidR="003E5856" w:rsidRPr="00B555E7">
        <w:t xml:space="preserve">annual </w:t>
      </w:r>
      <w:r w:rsidRPr="00B555E7">
        <w:t xml:space="preserve">cost of living adjustment and </w:t>
      </w:r>
      <w:r w:rsidR="00D533B1" w:rsidRPr="00B555E7">
        <w:t>d</w:t>
      </w:r>
      <w:r w:rsidR="008A69F8" w:rsidRPr="00B555E7">
        <w:t xml:space="preserve">epartment </w:t>
      </w:r>
      <w:r w:rsidR="00D533B1" w:rsidRPr="00B555E7">
        <w:t>r</w:t>
      </w:r>
      <w:r w:rsidR="008A69F8" w:rsidRPr="00B555E7">
        <w:t xml:space="preserve">equested </w:t>
      </w:r>
      <w:r w:rsidRPr="00B555E7">
        <w:t xml:space="preserve">employee </w:t>
      </w:r>
      <w:r w:rsidR="00D533B1" w:rsidRPr="00B555E7">
        <w:t>market adjustment increases</w:t>
      </w:r>
      <w:r w:rsidR="008A69F8" w:rsidRPr="00B555E7">
        <w:t xml:space="preserve"> </w:t>
      </w:r>
      <w:r w:rsidRPr="00B555E7">
        <w:t xml:space="preserve">starting January 1, 2022 for 2022; Program Delivery workforce expansion of 107 FTEs due to </w:t>
      </w:r>
      <w:r w:rsidR="003E5856" w:rsidRPr="00B555E7">
        <w:t>the</w:t>
      </w:r>
      <w:r w:rsidRPr="00B555E7">
        <w:t xml:space="preserve"> larger construction program, Enterprise Resource Planning staff of 4 </w:t>
      </w:r>
      <w:r w:rsidR="004973E4" w:rsidRPr="00B555E7">
        <w:t>additional</w:t>
      </w:r>
      <w:r w:rsidRPr="00B555E7">
        <w:t xml:space="preserve"> FTEs to implement the new accounting system; and </w:t>
      </w:r>
      <w:r w:rsidR="008A69F8" w:rsidRPr="00B555E7">
        <w:t xml:space="preserve">2.0 percent </w:t>
      </w:r>
      <w:r w:rsidR="003E5856" w:rsidRPr="00B555E7">
        <w:t xml:space="preserve">annual </w:t>
      </w:r>
      <w:r w:rsidR="008A69F8" w:rsidRPr="00B555E7">
        <w:t>cost of living adjustments starting in 202</w:t>
      </w:r>
      <w:r w:rsidR="00041E87" w:rsidRPr="00B555E7">
        <w:t>3</w:t>
      </w:r>
      <w:r w:rsidR="00D533B1" w:rsidRPr="00B555E7">
        <w:t xml:space="preserve"> </w:t>
      </w:r>
      <w:r w:rsidR="008A69F8" w:rsidRPr="00B555E7">
        <w:t>for every year</w:t>
      </w:r>
    </w:p>
    <w:p w14:paraId="2762DF4D" w14:textId="77777777" w:rsidR="008A69F8" w:rsidRPr="00B555E7" w:rsidRDefault="008A69F8" w:rsidP="008A69F8">
      <w:pPr>
        <w:numPr>
          <w:ilvl w:val="1"/>
          <w:numId w:val="5"/>
        </w:numPr>
        <w:tabs>
          <w:tab w:val="num" w:pos="720"/>
        </w:tabs>
        <w:ind w:left="1080"/>
        <w:rPr>
          <w:color w:val="000000" w:themeColor="text1"/>
        </w:rPr>
      </w:pPr>
      <w:r w:rsidRPr="00B555E7">
        <w:rPr>
          <w:color w:val="000000" w:themeColor="text1"/>
        </w:rPr>
        <w:t>Retirement contributions of 58.0 percent</w:t>
      </w:r>
    </w:p>
    <w:p w14:paraId="6D283467" w14:textId="662B7B70" w:rsidR="00625600" w:rsidRPr="00B555E7" w:rsidRDefault="008A69F8" w:rsidP="00625600">
      <w:pPr>
        <w:numPr>
          <w:ilvl w:val="1"/>
          <w:numId w:val="5"/>
        </w:numPr>
        <w:tabs>
          <w:tab w:val="num" w:pos="720"/>
        </w:tabs>
        <w:ind w:left="1080"/>
      </w:pPr>
      <w:r w:rsidRPr="00B555E7">
        <w:t xml:space="preserve">Medical projections </w:t>
      </w:r>
      <w:r w:rsidR="00397EBE" w:rsidRPr="00B555E7">
        <w:t>f</w:t>
      </w:r>
      <w:r w:rsidR="003E5856" w:rsidRPr="00B555E7">
        <w:t>rom the actuary f</w:t>
      </w:r>
      <w:r w:rsidR="00397EBE" w:rsidRPr="00B555E7">
        <w:t>or 2022</w:t>
      </w:r>
      <w:r w:rsidR="003E5856" w:rsidRPr="00B555E7">
        <w:t>-2023 and s</w:t>
      </w:r>
      <w:r w:rsidRPr="00B555E7">
        <w:t>tarting in 202</w:t>
      </w:r>
      <w:r w:rsidR="003E5856" w:rsidRPr="00B555E7">
        <w:t>4</w:t>
      </w:r>
      <w:r w:rsidRPr="00B555E7">
        <w:t xml:space="preserve"> the annual growth rate is the three-year average of 4.99 percent</w:t>
      </w:r>
    </w:p>
    <w:p w14:paraId="5DD8ACEA" w14:textId="3E754430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</w:pPr>
      <w:r w:rsidRPr="00B555E7">
        <w:t>Other Fringe Benefits based on personal services assumptions</w:t>
      </w:r>
    </w:p>
    <w:p w14:paraId="33C5B2B1" w14:textId="37CA6A0C" w:rsidR="00053554" w:rsidRPr="00B555E7" w:rsidRDefault="00053554" w:rsidP="00053554">
      <w:pPr>
        <w:tabs>
          <w:tab w:val="num" w:pos="1440"/>
        </w:tabs>
      </w:pPr>
    </w:p>
    <w:p w14:paraId="6B532965" w14:textId="77777777" w:rsidR="00053554" w:rsidRPr="00B555E7" w:rsidRDefault="00053554" w:rsidP="00053554">
      <w:pPr>
        <w:tabs>
          <w:tab w:val="num" w:pos="1440"/>
        </w:tabs>
      </w:pPr>
    </w:p>
    <w:p w14:paraId="5A96184E" w14:textId="4B2F404D" w:rsidR="00053554" w:rsidRPr="00B555E7" w:rsidRDefault="00053554" w:rsidP="00053554">
      <w:pPr>
        <w:tabs>
          <w:tab w:val="num" w:pos="1440"/>
        </w:tabs>
      </w:pPr>
    </w:p>
    <w:p w14:paraId="6EC2AD40" w14:textId="218F4ADB" w:rsidR="00053554" w:rsidRPr="00B555E7" w:rsidRDefault="00053554" w:rsidP="00053554">
      <w:pPr>
        <w:tabs>
          <w:tab w:val="num" w:pos="1440"/>
        </w:tabs>
      </w:pPr>
    </w:p>
    <w:p w14:paraId="3FF86869" w14:textId="77777777" w:rsidR="00053554" w:rsidRPr="00B555E7" w:rsidRDefault="00053554" w:rsidP="0005355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B555E7">
        <w:rPr>
          <w:b/>
          <w:sz w:val="28"/>
          <w:szCs w:val="28"/>
        </w:rPr>
        <w:t>Disbursements (cont’d)</w:t>
      </w:r>
    </w:p>
    <w:p w14:paraId="5C6E759B" w14:textId="0A58BA4F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  <w:rPr>
          <w:color w:val="000000" w:themeColor="text1"/>
        </w:rPr>
      </w:pPr>
      <w:r w:rsidRPr="00B555E7">
        <w:rPr>
          <w:color w:val="000000" w:themeColor="text1"/>
        </w:rPr>
        <w:t>Expense and equipment</w:t>
      </w:r>
      <w:r w:rsidR="00397EBE" w:rsidRPr="00B555E7">
        <w:rPr>
          <w:color w:val="000000" w:themeColor="text1"/>
        </w:rPr>
        <w:t xml:space="preserve"> </w:t>
      </w:r>
      <w:r w:rsidR="00053554" w:rsidRPr="00B555E7">
        <w:rPr>
          <w:color w:val="000000" w:themeColor="text1"/>
        </w:rPr>
        <w:t>includes increases of</w:t>
      </w:r>
      <w:r w:rsidR="007F0875" w:rsidRPr="00B555E7">
        <w:rPr>
          <w:color w:val="000000" w:themeColor="text1"/>
        </w:rPr>
        <w:t xml:space="preserve"> </w:t>
      </w:r>
      <w:r w:rsidR="00053554" w:rsidRPr="00B555E7">
        <w:rPr>
          <w:color w:val="000000" w:themeColor="text1"/>
        </w:rPr>
        <w:t>$5.0 million to account for inflation of roadway materials</w:t>
      </w:r>
      <w:r w:rsidR="007F0875" w:rsidRPr="00B555E7">
        <w:rPr>
          <w:color w:val="000000" w:themeColor="text1"/>
        </w:rPr>
        <w:t>;</w:t>
      </w:r>
      <w:r w:rsidR="00053554" w:rsidRPr="00B555E7">
        <w:rPr>
          <w:color w:val="000000" w:themeColor="text1"/>
        </w:rPr>
        <w:t xml:space="preserve"> $4.2 million for rest area improvements</w:t>
      </w:r>
      <w:r w:rsidR="007F0875" w:rsidRPr="00B555E7">
        <w:rPr>
          <w:color w:val="000000" w:themeColor="text1"/>
        </w:rPr>
        <w:t>;</w:t>
      </w:r>
      <w:r w:rsidR="00053554" w:rsidRPr="00B555E7">
        <w:rPr>
          <w:color w:val="000000" w:themeColor="text1"/>
        </w:rPr>
        <w:t xml:space="preserve"> $1.0 million for </w:t>
      </w:r>
      <w:r w:rsidR="00C06D27" w:rsidRPr="00B555E7">
        <w:rPr>
          <w:color w:val="000000" w:themeColor="text1"/>
        </w:rPr>
        <w:t xml:space="preserve">winter operations’ </w:t>
      </w:r>
      <w:r w:rsidR="00053554" w:rsidRPr="00B555E7">
        <w:rPr>
          <w:color w:val="000000" w:themeColor="text1"/>
        </w:rPr>
        <w:t>travel and lodging</w:t>
      </w:r>
      <w:r w:rsidR="007F0875" w:rsidRPr="00B555E7">
        <w:rPr>
          <w:color w:val="000000" w:themeColor="text1"/>
        </w:rPr>
        <w:t>;</w:t>
      </w:r>
      <w:r w:rsidR="00053554" w:rsidRPr="00B555E7">
        <w:rPr>
          <w:color w:val="000000" w:themeColor="text1"/>
        </w:rPr>
        <w:t xml:space="preserve"> $0.9 million for weigh station improvements</w:t>
      </w:r>
      <w:r w:rsidR="007F0875" w:rsidRPr="00B555E7">
        <w:rPr>
          <w:color w:val="000000" w:themeColor="text1"/>
        </w:rPr>
        <w:t>;</w:t>
      </w:r>
      <w:r w:rsidR="00053554" w:rsidRPr="00B555E7">
        <w:rPr>
          <w:color w:val="000000" w:themeColor="text1"/>
        </w:rPr>
        <w:t xml:space="preserve"> $0.8 million for radio tower </w:t>
      </w:r>
      <w:r w:rsidR="00C06D27" w:rsidRPr="00B555E7">
        <w:rPr>
          <w:color w:val="000000" w:themeColor="text1"/>
        </w:rPr>
        <w:t>maintenance</w:t>
      </w:r>
      <w:r w:rsidR="007F0875" w:rsidRPr="00B555E7">
        <w:rPr>
          <w:color w:val="000000" w:themeColor="text1"/>
        </w:rPr>
        <w:t>;</w:t>
      </w:r>
      <w:r w:rsidR="00053554" w:rsidRPr="00B555E7">
        <w:rPr>
          <w:color w:val="000000" w:themeColor="text1"/>
        </w:rPr>
        <w:t xml:space="preserve"> a one-time increase of $5.0 million for dump </w:t>
      </w:r>
      <w:r w:rsidR="00397EBE" w:rsidRPr="00B555E7">
        <w:rPr>
          <w:color w:val="000000" w:themeColor="text1"/>
        </w:rPr>
        <w:t>truck repairs</w:t>
      </w:r>
      <w:r w:rsidR="007F0875" w:rsidRPr="00B555E7">
        <w:rPr>
          <w:color w:val="000000" w:themeColor="text1"/>
        </w:rPr>
        <w:t>; and starting in 2024 increases of $10.0 million for fleet replacement and $2.0 million for information systems</w:t>
      </w:r>
    </w:p>
    <w:p w14:paraId="14A2AB08" w14:textId="1259B76F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</w:pPr>
      <w:r w:rsidRPr="00B555E7">
        <w:t>Expense and equipment distribution</w:t>
      </w:r>
      <w:r w:rsidR="00C06D27" w:rsidRPr="00B555E7">
        <w:t xml:space="preserve"> to Districts</w:t>
      </w:r>
    </w:p>
    <w:p w14:paraId="3F87FEB7" w14:textId="77777777" w:rsidR="008A69F8" w:rsidRPr="00B555E7" w:rsidRDefault="008A69F8" w:rsidP="008A69F8">
      <w:pPr>
        <w:numPr>
          <w:ilvl w:val="1"/>
          <w:numId w:val="11"/>
        </w:numPr>
        <w:rPr>
          <w:color w:val="000000"/>
        </w:rPr>
      </w:pPr>
      <w:r w:rsidRPr="00B555E7">
        <w:rPr>
          <w:color w:val="000000"/>
        </w:rPr>
        <w:t>35 percent Lane Miles – Major</w:t>
      </w:r>
    </w:p>
    <w:p w14:paraId="5F437DC8" w14:textId="77777777" w:rsidR="008A69F8" w:rsidRPr="00B555E7" w:rsidRDefault="008A69F8" w:rsidP="008A69F8">
      <w:pPr>
        <w:numPr>
          <w:ilvl w:val="1"/>
          <w:numId w:val="11"/>
        </w:numPr>
      </w:pPr>
      <w:r w:rsidRPr="00B555E7">
        <w:t>35 percent Lane Miles – Minor</w:t>
      </w:r>
    </w:p>
    <w:p w14:paraId="3B3D508D" w14:textId="77777777" w:rsidR="008A69F8" w:rsidRPr="00B555E7" w:rsidRDefault="008A69F8" w:rsidP="008A69F8">
      <w:pPr>
        <w:numPr>
          <w:ilvl w:val="1"/>
          <w:numId w:val="11"/>
        </w:numPr>
      </w:pPr>
      <w:r w:rsidRPr="00B555E7">
        <w:t>20 percent Vehicle Miles of Travel</w:t>
      </w:r>
    </w:p>
    <w:p w14:paraId="3A480478" w14:textId="0174A345" w:rsidR="008A69F8" w:rsidRPr="00B555E7" w:rsidRDefault="008A69F8" w:rsidP="008A69F8">
      <w:pPr>
        <w:numPr>
          <w:ilvl w:val="1"/>
          <w:numId w:val="11"/>
        </w:numPr>
      </w:pPr>
      <w:r w:rsidRPr="00B555E7">
        <w:t>10 percent Minor Roads in Poor Condition</w:t>
      </w:r>
    </w:p>
    <w:p w14:paraId="72A836C0" w14:textId="3256B217" w:rsidR="00053554" w:rsidRPr="00B555E7" w:rsidRDefault="00053554" w:rsidP="008A69F8">
      <w:pPr>
        <w:numPr>
          <w:ilvl w:val="1"/>
          <w:numId w:val="11"/>
        </w:numPr>
      </w:pPr>
      <w:r w:rsidRPr="00B555E7">
        <w:t xml:space="preserve">Asset management deficit program allocation of </w:t>
      </w:r>
      <w:r w:rsidR="00D67E15" w:rsidRPr="00B555E7">
        <w:t>$15</w:t>
      </w:r>
      <w:r w:rsidR="00C06D27" w:rsidRPr="00B555E7">
        <w:t>.0</w:t>
      </w:r>
      <w:r w:rsidR="00D67E15" w:rsidRPr="00B555E7">
        <w:t xml:space="preserve"> million for 2022-202</w:t>
      </w:r>
      <w:r w:rsidR="00A07605" w:rsidRPr="00B555E7">
        <w:t>4</w:t>
      </w:r>
      <w:r w:rsidR="00D67E15" w:rsidRPr="00B555E7">
        <w:t xml:space="preserve"> </w:t>
      </w:r>
    </w:p>
    <w:p w14:paraId="079CA92F" w14:textId="77777777" w:rsidR="008A69F8" w:rsidRPr="00B555E7" w:rsidRDefault="008A69F8" w:rsidP="008A69F8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color w:val="000000" w:themeColor="text1"/>
        </w:rPr>
      </w:pPr>
      <w:r w:rsidRPr="00B555E7">
        <w:rPr>
          <w:color w:val="000000" w:themeColor="text1"/>
        </w:rPr>
        <w:t>Program Delivery</w:t>
      </w:r>
    </w:p>
    <w:p w14:paraId="201325F3" w14:textId="77777777" w:rsidR="008A69F8" w:rsidRPr="00B555E7" w:rsidRDefault="008A69F8" w:rsidP="008A69F8">
      <w:pPr>
        <w:numPr>
          <w:ilvl w:val="0"/>
          <w:numId w:val="4"/>
        </w:numPr>
      </w:pPr>
      <w:r w:rsidRPr="00B555E7">
        <w:rPr>
          <w:color w:val="000000"/>
        </w:rPr>
        <w:t>Contractor Awards</w:t>
      </w:r>
      <w:r w:rsidRPr="00B555E7">
        <w:t xml:space="preserve"> </w:t>
      </w:r>
    </w:p>
    <w:p w14:paraId="361ACC15" w14:textId="0EE71016" w:rsidR="008A69F8" w:rsidRPr="00B555E7" w:rsidRDefault="008A69F8" w:rsidP="008A69F8">
      <w:pPr>
        <w:numPr>
          <w:ilvl w:val="1"/>
          <w:numId w:val="11"/>
        </w:numPr>
      </w:pPr>
      <w:r w:rsidRPr="00B555E7">
        <w:rPr>
          <w:color w:val="000000"/>
        </w:rPr>
        <w:t>$1,</w:t>
      </w:r>
      <w:r w:rsidR="005565EF" w:rsidRPr="00B555E7">
        <w:rPr>
          <w:color w:val="000000"/>
        </w:rPr>
        <w:t>118</w:t>
      </w:r>
      <w:r w:rsidRPr="00B555E7">
        <w:rPr>
          <w:color w:val="000000"/>
        </w:rPr>
        <w:t xml:space="preserve">.9 million for 2022 </w:t>
      </w:r>
    </w:p>
    <w:p w14:paraId="477CFB9E" w14:textId="31702614" w:rsidR="008A69F8" w:rsidRPr="00B555E7" w:rsidRDefault="008A69F8" w:rsidP="005565EF">
      <w:pPr>
        <w:numPr>
          <w:ilvl w:val="1"/>
          <w:numId w:val="11"/>
        </w:numPr>
      </w:pPr>
      <w:r w:rsidRPr="00B555E7">
        <w:rPr>
          <w:color w:val="000000"/>
        </w:rPr>
        <w:t>$</w:t>
      </w:r>
      <w:r w:rsidR="005565EF" w:rsidRPr="00B555E7">
        <w:rPr>
          <w:color w:val="000000"/>
        </w:rPr>
        <w:t>1,5</w:t>
      </w:r>
      <w:r w:rsidR="00A07605" w:rsidRPr="00B555E7">
        <w:rPr>
          <w:color w:val="000000"/>
        </w:rPr>
        <w:t>3</w:t>
      </w:r>
      <w:r w:rsidR="005565EF" w:rsidRPr="00B555E7">
        <w:rPr>
          <w:color w:val="000000"/>
        </w:rPr>
        <w:t>0</w:t>
      </w:r>
      <w:r w:rsidRPr="00B555E7">
        <w:rPr>
          <w:color w:val="000000"/>
        </w:rPr>
        <w:t>.0 million for 2023</w:t>
      </w:r>
      <w:r w:rsidR="005565EF" w:rsidRPr="00B555E7">
        <w:rPr>
          <w:color w:val="000000"/>
        </w:rPr>
        <w:t xml:space="preserve"> and beyond</w:t>
      </w:r>
    </w:p>
    <w:p w14:paraId="20CDC78C" w14:textId="77777777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  <w:rPr>
          <w:color w:val="000000"/>
        </w:rPr>
      </w:pPr>
      <w:r w:rsidRPr="00B555E7">
        <w:rPr>
          <w:color w:val="000000"/>
        </w:rPr>
        <w:t>Design/Bridge Consultant Engineering (DBC)</w:t>
      </w:r>
    </w:p>
    <w:p w14:paraId="116D15F6" w14:textId="5F32DEE1" w:rsidR="008A69F8" w:rsidRPr="00B555E7" w:rsidRDefault="008A69F8" w:rsidP="008A69F8">
      <w:pPr>
        <w:numPr>
          <w:ilvl w:val="1"/>
          <w:numId w:val="11"/>
        </w:numPr>
      </w:pPr>
      <w:r w:rsidRPr="00B555E7">
        <w:t>$</w:t>
      </w:r>
      <w:r w:rsidR="005565EF" w:rsidRPr="00B555E7">
        <w:t>60</w:t>
      </w:r>
      <w:r w:rsidRPr="00B555E7">
        <w:t>.0 million for 2022</w:t>
      </w:r>
    </w:p>
    <w:p w14:paraId="5C7A2D30" w14:textId="7CBDEFCE" w:rsidR="005565EF" w:rsidRPr="00B555E7" w:rsidRDefault="008A69F8" w:rsidP="008A69F8">
      <w:pPr>
        <w:numPr>
          <w:ilvl w:val="1"/>
          <w:numId w:val="11"/>
        </w:numPr>
      </w:pPr>
      <w:r w:rsidRPr="00B555E7">
        <w:t>$</w:t>
      </w:r>
      <w:r w:rsidR="00A07605" w:rsidRPr="00B555E7">
        <w:t>7</w:t>
      </w:r>
      <w:r w:rsidR="007F0875" w:rsidRPr="00B555E7">
        <w:t>0</w:t>
      </w:r>
      <w:r w:rsidRPr="00B555E7">
        <w:t>.0 million for 2023</w:t>
      </w:r>
    </w:p>
    <w:p w14:paraId="7D2C54E4" w14:textId="77777777" w:rsidR="00A07605" w:rsidRPr="00B555E7" w:rsidRDefault="005565EF" w:rsidP="008A69F8">
      <w:pPr>
        <w:numPr>
          <w:ilvl w:val="1"/>
          <w:numId w:val="11"/>
        </w:numPr>
      </w:pPr>
      <w:r w:rsidRPr="00B555E7">
        <w:t>$</w:t>
      </w:r>
      <w:r w:rsidR="00A07605" w:rsidRPr="00B555E7">
        <w:t>9</w:t>
      </w:r>
      <w:r w:rsidRPr="00B555E7">
        <w:t>5.0 million for 2024</w:t>
      </w:r>
      <w:r w:rsidR="00E36D6F" w:rsidRPr="00B555E7">
        <w:t xml:space="preserve"> </w:t>
      </w:r>
    </w:p>
    <w:p w14:paraId="0C3607B6" w14:textId="4B0FFF79" w:rsidR="005565EF" w:rsidRPr="00B555E7" w:rsidRDefault="00A07605" w:rsidP="008A69F8">
      <w:pPr>
        <w:numPr>
          <w:ilvl w:val="1"/>
          <w:numId w:val="11"/>
        </w:numPr>
      </w:pPr>
      <w:r w:rsidRPr="00B555E7">
        <w:t xml:space="preserve">$100.0 million for 2025 </w:t>
      </w:r>
      <w:r w:rsidR="00E36D6F" w:rsidRPr="00B555E7">
        <w:t>and beyond</w:t>
      </w:r>
    </w:p>
    <w:p w14:paraId="45DAF7BD" w14:textId="047A06A7" w:rsidR="008A69F8" w:rsidRPr="00B555E7" w:rsidRDefault="008A69F8" w:rsidP="005565EF">
      <w:pPr>
        <w:numPr>
          <w:ilvl w:val="1"/>
          <w:numId w:val="5"/>
        </w:numPr>
        <w:tabs>
          <w:tab w:val="num" w:pos="1080"/>
        </w:tabs>
        <w:ind w:left="1080"/>
        <w:rPr>
          <w:color w:val="000000"/>
        </w:rPr>
      </w:pPr>
      <w:r w:rsidRPr="00B555E7">
        <w:rPr>
          <w:color w:val="000000"/>
        </w:rPr>
        <w:t>Right of Way Acquisitions</w:t>
      </w:r>
    </w:p>
    <w:p w14:paraId="7C5ED6DD" w14:textId="77777777" w:rsidR="008A69F8" w:rsidRPr="00B555E7" w:rsidRDefault="008A69F8" w:rsidP="008A69F8">
      <w:pPr>
        <w:numPr>
          <w:ilvl w:val="1"/>
          <w:numId w:val="11"/>
        </w:numPr>
      </w:pPr>
      <w:r w:rsidRPr="00B555E7">
        <w:t>$20.0 million for 2022</w:t>
      </w:r>
    </w:p>
    <w:p w14:paraId="5D65C7E1" w14:textId="028D0BAD" w:rsidR="008A69F8" w:rsidRPr="00B555E7" w:rsidRDefault="008A69F8" w:rsidP="008A69F8">
      <w:pPr>
        <w:numPr>
          <w:ilvl w:val="1"/>
          <w:numId w:val="11"/>
        </w:numPr>
      </w:pPr>
      <w:r w:rsidRPr="00B555E7">
        <w:t>$</w:t>
      </w:r>
      <w:r w:rsidR="005565EF" w:rsidRPr="00B555E7">
        <w:t>25</w:t>
      </w:r>
      <w:r w:rsidRPr="00B555E7">
        <w:t>.0 million for 2023 and beyond</w:t>
      </w:r>
    </w:p>
    <w:p w14:paraId="24B1FCA6" w14:textId="77777777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  <w:rPr>
          <w:color w:val="000000"/>
        </w:rPr>
      </w:pPr>
      <w:r w:rsidRPr="00B555E7">
        <w:rPr>
          <w:color w:val="000000"/>
        </w:rPr>
        <w:t>Debt service</w:t>
      </w:r>
    </w:p>
    <w:p w14:paraId="5B363416" w14:textId="77777777" w:rsidR="008A69F8" w:rsidRPr="00B555E7" w:rsidRDefault="008A69F8" w:rsidP="008A69F8">
      <w:pPr>
        <w:numPr>
          <w:ilvl w:val="1"/>
          <w:numId w:val="11"/>
        </w:numPr>
      </w:pPr>
      <w:r w:rsidRPr="00B555E7">
        <w:t>Based on current annual debt service payments</w:t>
      </w:r>
    </w:p>
    <w:p w14:paraId="49790A48" w14:textId="429DE41E" w:rsidR="008A69F8" w:rsidRPr="00B555E7" w:rsidRDefault="008A69F8" w:rsidP="008A69F8">
      <w:pPr>
        <w:numPr>
          <w:ilvl w:val="1"/>
          <w:numId w:val="11"/>
        </w:numPr>
      </w:pPr>
      <w:r w:rsidRPr="00B555E7">
        <w:t>Governor’s Focus on Bridges Program of $4</w:t>
      </w:r>
      <w:r w:rsidR="00E36D6F" w:rsidRPr="00B555E7">
        <w:t>5.</w:t>
      </w:r>
      <w:r w:rsidR="009B00A5" w:rsidRPr="00B555E7">
        <w:t>2</w:t>
      </w:r>
      <w:r w:rsidRPr="00B555E7">
        <w:t xml:space="preserve"> million annually </w:t>
      </w:r>
      <w:r w:rsidR="005565EF" w:rsidRPr="00B555E7">
        <w:t>for six years</w:t>
      </w:r>
    </w:p>
    <w:p w14:paraId="438C4146" w14:textId="02F9AF16" w:rsidR="008A69F8" w:rsidRPr="00B555E7" w:rsidRDefault="008A69F8" w:rsidP="008A69F8">
      <w:pPr>
        <w:numPr>
          <w:ilvl w:val="1"/>
          <w:numId w:val="11"/>
        </w:numPr>
      </w:pPr>
      <w:r w:rsidRPr="00B555E7">
        <w:t>MTFC loan repayments for the Rocheport Bridge and Mineola Hill INFRA Grant project of $9.2 million annually starting in 2024</w:t>
      </w:r>
      <w:r w:rsidR="00C06D27" w:rsidRPr="00B555E7">
        <w:t xml:space="preserve"> for</w:t>
      </w:r>
      <w:r w:rsidR="00786941" w:rsidRPr="00B555E7">
        <w:t xml:space="preserve"> seven </w:t>
      </w:r>
      <w:r w:rsidR="00C06D27" w:rsidRPr="00B555E7">
        <w:t>years</w:t>
      </w:r>
    </w:p>
    <w:p w14:paraId="593845E9" w14:textId="6D755C16" w:rsidR="009846F6" w:rsidRPr="00B555E7" w:rsidRDefault="009846F6" w:rsidP="008A69F8">
      <w:pPr>
        <w:numPr>
          <w:ilvl w:val="1"/>
          <w:numId w:val="11"/>
        </w:numPr>
      </w:pPr>
      <w:r w:rsidRPr="00B555E7">
        <w:t>Amendment 3 debt service payment</w:t>
      </w:r>
      <w:r w:rsidR="00E36D6F" w:rsidRPr="00B555E7">
        <w:t>s</w:t>
      </w:r>
      <w:r w:rsidRPr="00B555E7">
        <w:t xml:space="preserve"> of $55.0 million starting in 2024</w:t>
      </w:r>
      <w:r w:rsidR="00E36D6F" w:rsidRPr="00B555E7">
        <w:t xml:space="preserve"> for </w:t>
      </w:r>
      <w:r w:rsidR="00786941" w:rsidRPr="00B555E7">
        <w:t xml:space="preserve">ten </w:t>
      </w:r>
      <w:r w:rsidR="00E36D6F" w:rsidRPr="00B555E7">
        <w:t>years</w:t>
      </w:r>
    </w:p>
    <w:p w14:paraId="76B10174" w14:textId="77777777" w:rsidR="008A69F8" w:rsidRPr="00B555E7" w:rsidRDefault="008A69F8" w:rsidP="008A69F8">
      <w:pPr>
        <w:numPr>
          <w:ilvl w:val="0"/>
          <w:numId w:val="3"/>
        </w:numPr>
      </w:pPr>
      <w:r w:rsidRPr="00B555E7">
        <w:t>Other State Agencies (Highway Patrol and Department of Revenue)</w:t>
      </w:r>
    </w:p>
    <w:p w14:paraId="7F91B5F9" w14:textId="77777777" w:rsidR="008A69F8" w:rsidRPr="00B555E7" w:rsidRDefault="008A69F8" w:rsidP="008A69F8">
      <w:pPr>
        <w:numPr>
          <w:ilvl w:val="1"/>
          <w:numId w:val="5"/>
        </w:numPr>
        <w:tabs>
          <w:tab w:val="num" w:pos="1080"/>
        </w:tabs>
        <w:ind w:left="1080"/>
      </w:pPr>
      <w:r w:rsidRPr="00B555E7">
        <w:t>Based on historical data</w:t>
      </w:r>
    </w:p>
    <w:p w14:paraId="13FF14F6" w14:textId="0F63DF91" w:rsidR="008A69F8" w:rsidRPr="00B555E7" w:rsidRDefault="008A69F8" w:rsidP="008A69F8">
      <w:pPr>
        <w:numPr>
          <w:ilvl w:val="1"/>
          <w:numId w:val="2"/>
        </w:numPr>
      </w:pPr>
      <w:r w:rsidRPr="00B555E7">
        <w:t xml:space="preserve">Highway Patrol – </w:t>
      </w:r>
      <w:r w:rsidR="005565EF" w:rsidRPr="00B555E7">
        <w:t>8</w:t>
      </w:r>
      <w:r w:rsidR="00A07605" w:rsidRPr="00B555E7">
        <w:t>7</w:t>
      </w:r>
      <w:r w:rsidRPr="00B555E7">
        <w:t xml:space="preserve"> percent spending of FY202</w:t>
      </w:r>
      <w:r w:rsidR="005565EF" w:rsidRPr="00B555E7">
        <w:t>2</w:t>
      </w:r>
      <w:r w:rsidRPr="00B555E7">
        <w:t xml:space="preserve"> appropriation</w:t>
      </w:r>
    </w:p>
    <w:p w14:paraId="3BD3CC74" w14:textId="47D8759A" w:rsidR="008A69F8" w:rsidRPr="00B555E7" w:rsidRDefault="008A69F8" w:rsidP="008A69F8">
      <w:pPr>
        <w:numPr>
          <w:ilvl w:val="1"/>
          <w:numId w:val="2"/>
        </w:numPr>
      </w:pPr>
      <w:r w:rsidRPr="00B555E7">
        <w:t xml:space="preserve">Annual growth rate </w:t>
      </w:r>
      <w:r w:rsidR="00C06D27" w:rsidRPr="00B555E7">
        <w:t>of 1.</w:t>
      </w:r>
      <w:r w:rsidR="00A07605" w:rsidRPr="00B555E7">
        <w:t>3</w:t>
      </w:r>
      <w:r w:rsidR="00C06D27" w:rsidRPr="00B555E7">
        <w:t xml:space="preserve"> percent </w:t>
      </w:r>
      <w:r w:rsidRPr="00B555E7">
        <w:t>for 202</w:t>
      </w:r>
      <w:r w:rsidR="005565EF" w:rsidRPr="00B555E7">
        <w:t>3</w:t>
      </w:r>
      <w:r w:rsidRPr="00B555E7">
        <w:t xml:space="preserve"> and beyond</w:t>
      </w:r>
    </w:p>
    <w:p w14:paraId="712D3BEC" w14:textId="6E76D51D" w:rsidR="001D5032" w:rsidRPr="008A69F8" w:rsidRDefault="001D5032" w:rsidP="008A69F8"/>
    <w:sectPr w:rsidR="001D5032" w:rsidRPr="008A69F8" w:rsidSect="009B71C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46653" w14:textId="77777777" w:rsidR="000E5B99" w:rsidRDefault="000E5B99">
      <w:r>
        <w:separator/>
      </w:r>
    </w:p>
  </w:endnote>
  <w:endnote w:type="continuationSeparator" w:id="0">
    <w:p w14:paraId="19526872" w14:textId="77777777" w:rsidR="000E5B99" w:rsidRDefault="000E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5AB6D" w14:textId="5B0373BB" w:rsidR="00AB16B6" w:rsidRPr="00E42F63" w:rsidRDefault="00AB16B6" w:rsidP="00AB16B6">
    <w:pPr>
      <w:pStyle w:val="Footer"/>
      <w:jc w:val="both"/>
      <w:rPr>
        <w:sz w:val="20"/>
        <w:szCs w:val="20"/>
      </w:rPr>
    </w:pPr>
    <w:r>
      <w:rPr>
        <w:sz w:val="20"/>
        <w:szCs w:val="20"/>
      </w:rPr>
      <w:t>MHTC Meeting</w:t>
    </w:r>
    <w:r>
      <w:rPr>
        <w:sz w:val="20"/>
        <w:szCs w:val="20"/>
      </w:rPr>
      <w:tab/>
    </w:r>
    <w:r w:rsidR="00736591" w:rsidRPr="00736591">
      <w:rPr>
        <w:sz w:val="20"/>
        <w:szCs w:val="20"/>
      </w:rPr>
      <w:fldChar w:fldCharType="begin"/>
    </w:r>
    <w:r w:rsidR="00736591" w:rsidRPr="00736591">
      <w:rPr>
        <w:sz w:val="20"/>
        <w:szCs w:val="20"/>
      </w:rPr>
      <w:instrText xml:space="preserve"> PAGE   \* MERGEFORMAT </w:instrText>
    </w:r>
    <w:r w:rsidR="00736591" w:rsidRPr="00736591">
      <w:rPr>
        <w:sz w:val="20"/>
        <w:szCs w:val="20"/>
      </w:rPr>
      <w:fldChar w:fldCharType="separate"/>
    </w:r>
    <w:r w:rsidR="00736591" w:rsidRPr="00736591">
      <w:rPr>
        <w:noProof/>
        <w:sz w:val="20"/>
        <w:szCs w:val="20"/>
      </w:rPr>
      <w:t>1</w:t>
    </w:r>
    <w:r w:rsidR="00736591" w:rsidRPr="00736591">
      <w:rPr>
        <w:noProof/>
        <w:sz w:val="20"/>
        <w:szCs w:val="20"/>
      </w:rPr>
      <w:fldChar w:fldCharType="end"/>
    </w:r>
    <w:r w:rsidR="00736591" w:rsidRPr="00736591">
      <w:rPr>
        <w:noProof/>
        <w:sz w:val="20"/>
        <w:szCs w:val="20"/>
      </w:rPr>
      <w:t xml:space="preserve"> of 3</w:t>
    </w:r>
    <w:r>
      <w:rPr>
        <w:sz w:val="20"/>
        <w:szCs w:val="20"/>
      </w:rPr>
      <w:tab/>
      <w:t xml:space="preserve">January </w:t>
    </w:r>
    <w:r w:rsidR="009846F6">
      <w:rPr>
        <w:sz w:val="20"/>
        <w:szCs w:val="20"/>
      </w:rPr>
      <w:t>5</w:t>
    </w:r>
    <w:r>
      <w:rPr>
        <w:sz w:val="20"/>
        <w:szCs w:val="20"/>
      </w:rPr>
      <w:t>, 202</w:t>
    </w:r>
    <w:r w:rsidR="009846F6">
      <w:rPr>
        <w:sz w:val="20"/>
        <w:szCs w:val="20"/>
      </w:rPr>
      <w:t>2</w:t>
    </w:r>
  </w:p>
  <w:p w14:paraId="35B627D0" w14:textId="6A28505C" w:rsidR="00B139BA" w:rsidRPr="00E42F63" w:rsidRDefault="00B139BA" w:rsidP="00DD3D36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69383" w14:textId="77777777" w:rsidR="000E5B99" w:rsidRDefault="000E5B99">
      <w:r>
        <w:separator/>
      </w:r>
    </w:p>
  </w:footnote>
  <w:footnote w:type="continuationSeparator" w:id="0">
    <w:p w14:paraId="32F8488A" w14:textId="77777777" w:rsidR="000E5B99" w:rsidRDefault="000E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F8D83" w14:textId="193214B9" w:rsidR="00AB16B6" w:rsidRPr="00A47E13" w:rsidRDefault="00AB16B6" w:rsidP="00AB16B6">
    <w:pPr>
      <w:pStyle w:val="Header"/>
      <w:jc w:val="right"/>
      <w:rPr>
        <w:sz w:val="20"/>
        <w:szCs w:val="20"/>
      </w:rPr>
    </w:pPr>
    <w:r w:rsidRPr="00A47E13">
      <w:rPr>
        <w:sz w:val="20"/>
        <w:szCs w:val="20"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6741"/>
    <w:multiLevelType w:val="hybridMultilevel"/>
    <w:tmpl w:val="D67CE3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0755"/>
    <w:multiLevelType w:val="hybridMultilevel"/>
    <w:tmpl w:val="F022E3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813B7"/>
    <w:multiLevelType w:val="hybridMultilevel"/>
    <w:tmpl w:val="135E52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263E6"/>
    <w:multiLevelType w:val="hybridMultilevel"/>
    <w:tmpl w:val="550633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6A484B"/>
    <w:multiLevelType w:val="hybridMultilevel"/>
    <w:tmpl w:val="424018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B76CD"/>
    <w:multiLevelType w:val="hybridMultilevel"/>
    <w:tmpl w:val="73CE2E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316A6"/>
    <w:multiLevelType w:val="hybridMultilevel"/>
    <w:tmpl w:val="32568E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C33F1"/>
    <w:multiLevelType w:val="hybridMultilevel"/>
    <w:tmpl w:val="BD7480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00765B"/>
    <w:multiLevelType w:val="hybridMultilevel"/>
    <w:tmpl w:val="94202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62F1"/>
    <w:multiLevelType w:val="hybridMultilevel"/>
    <w:tmpl w:val="181C50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35BB7"/>
    <w:multiLevelType w:val="hybridMultilevel"/>
    <w:tmpl w:val="45BC976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22375D"/>
    <w:multiLevelType w:val="hybridMultilevel"/>
    <w:tmpl w:val="5874B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24807"/>
    <w:multiLevelType w:val="hybridMultilevel"/>
    <w:tmpl w:val="0EFC25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F0E51"/>
    <w:multiLevelType w:val="hybridMultilevel"/>
    <w:tmpl w:val="C76058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1C7912"/>
    <w:multiLevelType w:val="hybridMultilevel"/>
    <w:tmpl w:val="53B84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5"/>
  </w:num>
  <w:num w:numId="8">
    <w:abstractNumId w:val="14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1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C2"/>
    <w:rsid w:val="00001E7F"/>
    <w:rsid w:val="0000337D"/>
    <w:rsid w:val="0001477F"/>
    <w:rsid w:val="00021A2B"/>
    <w:rsid w:val="00030339"/>
    <w:rsid w:val="000347B9"/>
    <w:rsid w:val="00037DB6"/>
    <w:rsid w:val="00041E87"/>
    <w:rsid w:val="00042114"/>
    <w:rsid w:val="0004392E"/>
    <w:rsid w:val="00045221"/>
    <w:rsid w:val="000522F5"/>
    <w:rsid w:val="00053202"/>
    <w:rsid w:val="00053554"/>
    <w:rsid w:val="00073205"/>
    <w:rsid w:val="0007342C"/>
    <w:rsid w:val="00074E7A"/>
    <w:rsid w:val="00093F60"/>
    <w:rsid w:val="000A75AA"/>
    <w:rsid w:val="000A7850"/>
    <w:rsid w:val="000C4430"/>
    <w:rsid w:val="000D2182"/>
    <w:rsid w:val="000D69E4"/>
    <w:rsid w:val="000E13D6"/>
    <w:rsid w:val="000E5B99"/>
    <w:rsid w:val="000F202B"/>
    <w:rsid w:val="000F47E6"/>
    <w:rsid w:val="000F502E"/>
    <w:rsid w:val="00103242"/>
    <w:rsid w:val="00111976"/>
    <w:rsid w:val="00111BF1"/>
    <w:rsid w:val="001122AF"/>
    <w:rsid w:val="0011231B"/>
    <w:rsid w:val="00123109"/>
    <w:rsid w:val="001248B7"/>
    <w:rsid w:val="00125307"/>
    <w:rsid w:val="0012589A"/>
    <w:rsid w:val="00130884"/>
    <w:rsid w:val="00130E62"/>
    <w:rsid w:val="00136BD6"/>
    <w:rsid w:val="00141E9B"/>
    <w:rsid w:val="00144CC0"/>
    <w:rsid w:val="00154073"/>
    <w:rsid w:val="00156261"/>
    <w:rsid w:val="00173669"/>
    <w:rsid w:val="0017382B"/>
    <w:rsid w:val="001854A9"/>
    <w:rsid w:val="00187FF1"/>
    <w:rsid w:val="00190108"/>
    <w:rsid w:val="00192825"/>
    <w:rsid w:val="001A1850"/>
    <w:rsid w:val="001A4488"/>
    <w:rsid w:val="001B66A2"/>
    <w:rsid w:val="001B6D9C"/>
    <w:rsid w:val="001B7C07"/>
    <w:rsid w:val="001C59EB"/>
    <w:rsid w:val="001D32BD"/>
    <w:rsid w:val="001D4ECC"/>
    <w:rsid w:val="001D5032"/>
    <w:rsid w:val="001E1115"/>
    <w:rsid w:val="001E58B2"/>
    <w:rsid w:val="001E7DE0"/>
    <w:rsid w:val="001F02A1"/>
    <w:rsid w:val="001F6B2B"/>
    <w:rsid w:val="00200599"/>
    <w:rsid w:val="0020508B"/>
    <w:rsid w:val="00210575"/>
    <w:rsid w:val="00215C7D"/>
    <w:rsid w:val="00217D1A"/>
    <w:rsid w:val="0022289D"/>
    <w:rsid w:val="00225DFB"/>
    <w:rsid w:val="00231077"/>
    <w:rsid w:val="00243A60"/>
    <w:rsid w:val="00245904"/>
    <w:rsid w:val="002479EA"/>
    <w:rsid w:val="0025449C"/>
    <w:rsid w:val="00263E1F"/>
    <w:rsid w:val="00266788"/>
    <w:rsid w:val="00282914"/>
    <w:rsid w:val="002A123F"/>
    <w:rsid w:val="002A5407"/>
    <w:rsid w:val="002A7437"/>
    <w:rsid w:val="002B34B1"/>
    <w:rsid w:val="002B3D67"/>
    <w:rsid w:val="002C178F"/>
    <w:rsid w:val="002C1930"/>
    <w:rsid w:val="002C2907"/>
    <w:rsid w:val="002C3049"/>
    <w:rsid w:val="002C5077"/>
    <w:rsid w:val="002D2F4C"/>
    <w:rsid w:val="002D5B52"/>
    <w:rsid w:val="002E4DE6"/>
    <w:rsid w:val="002F5B82"/>
    <w:rsid w:val="002F5CD0"/>
    <w:rsid w:val="0030056D"/>
    <w:rsid w:val="00302914"/>
    <w:rsid w:val="003032CA"/>
    <w:rsid w:val="00306AC5"/>
    <w:rsid w:val="003105A1"/>
    <w:rsid w:val="00314FFE"/>
    <w:rsid w:val="0032376C"/>
    <w:rsid w:val="003251B3"/>
    <w:rsid w:val="00331C60"/>
    <w:rsid w:val="00333AB4"/>
    <w:rsid w:val="003359E5"/>
    <w:rsid w:val="003376DD"/>
    <w:rsid w:val="003418AF"/>
    <w:rsid w:val="00345A96"/>
    <w:rsid w:val="00350E49"/>
    <w:rsid w:val="00351584"/>
    <w:rsid w:val="003544DF"/>
    <w:rsid w:val="00354D18"/>
    <w:rsid w:val="00374A89"/>
    <w:rsid w:val="003773E8"/>
    <w:rsid w:val="00377E80"/>
    <w:rsid w:val="003835E9"/>
    <w:rsid w:val="00391024"/>
    <w:rsid w:val="00394D0F"/>
    <w:rsid w:val="003961A5"/>
    <w:rsid w:val="00397EBE"/>
    <w:rsid w:val="003A4580"/>
    <w:rsid w:val="003B19DD"/>
    <w:rsid w:val="003D13BA"/>
    <w:rsid w:val="003E5856"/>
    <w:rsid w:val="003E68BA"/>
    <w:rsid w:val="003F4610"/>
    <w:rsid w:val="003F4AE7"/>
    <w:rsid w:val="003F553C"/>
    <w:rsid w:val="00400F5B"/>
    <w:rsid w:val="00405A7D"/>
    <w:rsid w:val="0041077E"/>
    <w:rsid w:val="004164F4"/>
    <w:rsid w:val="00422284"/>
    <w:rsid w:val="00425E65"/>
    <w:rsid w:val="00430325"/>
    <w:rsid w:val="0043366D"/>
    <w:rsid w:val="0043752F"/>
    <w:rsid w:val="0043771F"/>
    <w:rsid w:val="00437993"/>
    <w:rsid w:val="00454F44"/>
    <w:rsid w:val="00471531"/>
    <w:rsid w:val="00475ED0"/>
    <w:rsid w:val="00481039"/>
    <w:rsid w:val="004867B2"/>
    <w:rsid w:val="00486E23"/>
    <w:rsid w:val="00496870"/>
    <w:rsid w:val="00496BD4"/>
    <w:rsid w:val="004973E4"/>
    <w:rsid w:val="004A07D8"/>
    <w:rsid w:val="004B27D4"/>
    <w:rsid w:val="004B6BD1"/>
    <w:rsid w:val="004C02AE"/>
    <w:rsid w:val="004C7598"/>
    <w:rsid w:val="004D2B44"/>
    <w:rsid w:val="004D72D5"/>
    <w:rsid w:val="004E3E1B"/>
    <w:rsid w:val="004E6B63"/>
    <w:rsid w:val="004F610A"/>
    <w:rsid w:val="004F7656"/>
    <w:rsid w:val="00503965"/>
    <w:rsid w:val="005107DD"/>
    <w:rsid w:val="005217EB"/>
    <w:rsid w:val="00524138"/>
    <w:rsid w:val="005428CF"/>
    <w:rsid w:val="00550802"/>
    <w:rsid w:val="00554A82"/>
    <w:rsid w:val="005551BF"/>
    <w:rsid w:val="005565EF"/>
    <w:rsid w:val="005659D2"/>
    <w:rsid w:val="00571AF0"/>
    <w:rsid w:val="005738D1"/>
    <w:rsid w:val="00583CE8"/>
    <w:rsid w:val="00583D14"/>
    <w:rsid w:val="00590F55"/>
    <w:rsid w:val="00595BFC"/>
    <w:rsid w:val="00595F37"/>
    <w:rsid w:val="0059708E"/>
    <w:rsid w:val="005A2842"/>
    <w:rsid w:val="005B0416"/>
    <w:rsid w:val="005B7D1D"/>
    <w:rsid w:val="005D10F5"/>
    <w:rsid w:val="005D3297"/>
    <w:rsid w:val="005E1C40"/>
    <w:rsid w:val="005E519C"/>
    <w:rsid w:val="005E5D5D"/>
    <w:rsid w:val="005F2A15"/>
    <w:rsid w:val="005F687A"/>
    <w:rsid w:val="00600334"/>
    <w:rsid w:val="0061274A"/>
    <w:rsid w:val="00616E45"/>
    <w:rsid w:val="00624E9A"/>
    <w:rsid w:val="00625600"/>
    <w:rsid w:val="00635A66"/>
    <w:rsid w:val="00641D01"/>
    <w:rsid w:val="0066122B"/>
    <w:rsid w:val="00661D68"/>
    <w:rsid w:val="00673CF8"/>
    <w:rsid w:val="00674034"/>
    <w:rsid w:val="00674F0F"/>
    <w:rsid w:val="006906D3"/>
    <w:rsid w:val="00690CB7"/>
    <w:rsid w:val="00696F5B"/>
    <w:rsid w:val="006A21AF"/>
    <w:rsid w:val="006A58FE"/>
    <w:rsid w:val="006B14C8"/>
    <w:rsid w:val="006B1B8D"/>
    <w:rsid w:val="006B35A1"/>
    <w:rsid w:val="006B4A03"/>
    <w:rsid w:val="006B5802"/>
    <w:rsid w:val="006C44B1"/>
    <w:rsid w:val="006C77DF"/>
    <w:rsid w:val="006D0B9B"/>
    <w:rsid w:val="006D5783"/>
    <w:rsid w:val="006D790E"/>
    <w:rsid w:val="006E36EE"/>
    <w:rsid w:val="006E3A08"/>
    <w:rsid w:val="006E57FA"/>
    <w:rsid w:val="006F07E1"/>
    <w:rsid w:val="006F26F5"/>
    <w:rsid w:val="006F6207"/>
    <w:rsid w:val="00700130"/>
    <w:rsid w:val="00701A7D"/>
    <w:rsid w:val="00702DDD"/>
    <w:rsid w:val="00707DF9"/>
    <w:rsid w:val="0072365B"/>
    <w:rsid w:val="007276FC"/>
    <w:rsid w:val="00736591"/>
    <w:rsid w:val="00736793"/>
    <w:rsid w:val="0074065D"/>
    <w:rsid w:val="00747FB1"/>
    <w:rsid w:val="0075280A"/>
    <w:rsid w:val="007549A1"/>
    <w:rsid w:val="00756007"/>
    <w:rsid w:val="00761EA0"/>
    <w:rsid w:val="00765059"/>
    <w:rsid w:val="007702E8"/>
    <w:rsid w:val="007718A7"/>
    <w:rsid w:val="0077556B"/>
    <w:rsid w:val="007779F8"/>
    <w:rsid w:val="00781D83"/>
    <w:rsid w:val="00786941"/>
    <w:rsid w:val="007931CA"/>
    <w:rsid w:val="00796096"/>
    <w:rsid w:val="007A16FD"/>
    <w:rsid w:val="007B34C1"/>
    <w:rsid w:val="007B3F6F"/>
    <w:rsid w:val="007C53B5"/>
    <w:rsid w:val="007D4AF0"/>
    <w:rsid w:val="007F0875"/>
    <w:rsid w:val="007F61E8"/>
    <w:rsid w:val="00817133"/>
    <w:rsid w:val="00841AFA"/>
    <w:rsid w:val="00850CA8"/>
    <w:rsid w:val="00862046"/>
    <w:rsid w:val="00865910"/>
    <w:rsid w:val="00886084"/>
    <w:rsid w:val="008A1A24"/>
    <w:rsid w:val="008A69F8"/>
    <w:rsid w:val="008B4BA0"/>
    <w:rsid w:val="008D0204"/>
    <w:rsid w:val="008D7CD1"/>
    <w:rsid w:val="008E3A77"/>
    <w:rsid w:val="008F461D"/>
    <w:rsid w:val="008F541B"/>
    <w:rsid w:val="0090453A"/>
    <w:rsid w:val="00917976"/>
    <w:rsid w:val="009270AB"/>
    <w:rsid w:val="00931A21"/>
    <w:rsid w:val="00944677"/>
    <w:rsid w:val="00953687"/>
    <w:rsid w:val="00954610"/>
    <w:rsid w:val="0096067E"/>
    <w:rsid w:val="00963870"/>
    <w:rsid w:val="009738BE"/>
    <w:rsid w:val="009846F6"/>
    <w:rsid w:val="00986FEA"/>
    <w:rsid w:val="009A0DE1"/>
    <w:rsid w:val="009A30D0"/>
    <w:rsid w:val="009A6207"/>
    <w:rsid w:val="009B00A5"/>
    <w:rsid w:val="009B71C5"/>
    <w:rsid w:val="009C1937"/>
    <w:rsid w:val="009C4B17"/>
    <w:rsid w:val="009E717B"/>
    <w:rsid w:val="009E7415"/>
    <w:rsid w:val="009F2B8C"/>
    <w:rsid w:val="009F37FF"/>
    <w:rsid w:val="009F6527"/>
    <w:rsid w:val="00A03741"/>
    <w:rsid w:val="00A067EA"/>
    <w:rsid w:val="00A06B56"/>
    <w:rsid w:val="00A06FD7"/>
    <w:rsid w:val="00A07605"/>
    <w:rsid w:val="00A12972"/>
    <w:rsid w:val="00A15472"/>
    <w:rsid w:val="00A3164A"/>
    <w:rsid w:val="00A3245E"/>
    <w:rsid w:val="00A41D68"/>
    <w:rsid w:val="00A429EA"/>
    <w:rsid w:val="00A47E13"/>
    <w:rsid w:val="00A5102D"/>
    <w:rsid w:val="00A56AB2"/>
    <w:rsid w:val="00A72480"/>
    <w:rsid w:val="00A729FA"/>
    <w:rsid w:val="00A75709"/>
    <w:rsid w:val="00A77AA7"/>
    <w:rsid w:val="00A8471B"/>
    <w:rsid w:val="00A85ADC"/>
    <w:rsid w:val="00A90B29"/>
    <w:rsid w:val="00AA789C"/>
    <w:rsid w:val="00AB16B6"/>
    <w:rsid w:val="00AD7B8F"/>
    <w:rsid w:val="00AE5F15"/>
    <w:rsid w:val="00AF214F"/>
    <w:rsid w:val="00AF2CD5"/>
    <w:rsid w:val="00B13017"/>
    <w:rsid w:val="00B139BA"/>
    <w:rsid w:val="00B155D5"/>
    <w:rsid w:val="00B26ED4"/>
    <w:rsid w:val="00B30361"/>
    <w:rsid w:val="00B414CA"/>
    <w:rsid w:val="00B555E7"/>
    <w:rsid w:val="00B6033F"/>
    <w:rsid w:val="00B75D40"/>
    <w:rsid w:val="00B8214B"/>
    <w:rsid w:val="00B82407"/>
    <w:rsid w:val="00B95E9E"/>
    <w:rsid w:val="00BA1420"/>
    <w:rsid w:val="00BA5E67"/>
    <w:rsid w:val="00BB4D4D"/>
    <w:rsid w:val="00BC519B"/>
    <w:rsid w:val="00BC61BC"/>
    <w:rsid w:val="00BC6D02"/>
    <w:rsid w:val="00BD12A2"/>
    <w:rsid w:val="00BE089B"/>
    <w:rsid w:val="00BE35C0"/>
    <w:rsid w:val="00BE4F99"/>
    <w:rsid w:val="00BF033E"/>
    <w:rsid w:val="00C02598"/>
    <w:rsid w:val="00C04326"/>
    <w:rsid w:val="00C06D27"/>
    <w:rsid w:val="00C06D92"/>
    <w:rsid w:val="00C12BE1"/>
    <w:rsid w:val="00C13416"/>
    <w:rsid w:val="00C14AC7"/>
    <w:rsid w:val="00C17E32"/>
    <w:rsid w:val="00C4352C"/>
    <w:rsid w:val="00C455C3"/>
    <w:rsid w:val="00C4765D"/>
    <w:rsid w:val="00C47C0C"/>
    <w:rsid w:val="00C518C8"/>
    <w:rsid w:val="00C529C0"/>
    <w:rsid w:val="00C5458F"/>
    <w:rsid w:val="00C718F2"/>
    <w:rsid w:val="00C72241"/>
    <w:rsid w:val="00C74954"/>
    <w:rsid w:val="00C75C2D"/>
    <w:rsid w:val="00C7711D"/>
    <w:rsid w:val="00C80A0E"/>
    <w:rsid w:val="00C81783"/>
    <w:rsid w:val="00C81A93"/>
    <w:rsid w:val="00C84EF6"/>
    <w:rsid w:val="00C8532E"/>
    <w:rsid w:val="00C86319"/>
    <w:rsid w:val="00C872E7"/>
    <w:rsid w:val="00C93C76"/>
    <w:rsid w:val="00CA59D4"/>
    <w:rsid w:val="00CA601D"/>
    <w:rsid w:val="00CA68AA"/>
    <w:rsid w:val="00CC06C9"/>
    <w:rsid w:val="00CC3F38"/>
    <w:rsid w:val="00CC60B5"/>
    <w:rsid w:val="00CC7C4C"/>
    <w:rsid w:val="00CD7D0D"/>
    <w:rsid w:val="00CE0898"/>
    <w:rsid w:val="00CF74D8"/>
    <w:rsid w:val="00D00927"/>
    <w:rsid w:val="00D079DF"/>
    <w:rsid w:val="00D12F08"/>
    <w:rsid w:val="00D15F45"/>
    <w:rsid w:val="00D204C4"/>
    <w:rsid w:val="00D239BA"/>
    <w:rsid w:val="00D269CF"/>
    <w:rsid w:val="00D351C3"/>
    <w:rsid w:val="00D35D4A"/>
    <w:rsid w:val="00D37F3F"/>
    <w:rsid w:val="00D45B3B"/>
    <w:rsid w:val="00D46D07"/>
    <w:rsid w:val="00D47C58"/>
    <w:rsid w:val="00D519C9"/>
    <w:rsid w:val="00D532ED"/>
    <w:rsid w:val="00D533B1"/>
    <w:rsid w:val="00D61B0C"/>
    <w:rsid w:val="00D6605E"/>
    <w:rsid w:val="00D67E15"/>
    <w:rsid w:val="00D707C7"/>
    <w:rsid w:val="00D81508"/>
    <w:rsid w:val="00D909E1"/>
    <w:rsid w:val="00D90D22"/>
    <w:rsid w:val="00D93EEE"/>
    <w:rsid w:val="00DB2580"/>
    <w:rsid w:val="00DC67A8"/>
    <w:rsid w:val="00DC71BB"/>
    <w:rsid w:val="00DD3D36"/>
    <w:rsid w:val="00DD6D2F"/>
    <w:rsid w:val="00DE0104"/>
    <w:rsid w:val="00DE3D36"/>
    <w:rsid w:val="00DE5C11"/>
    <w:rsid w:val="00DF6624"/>
    <w:rsid w:val="00E132C2"/>
    <w:rsid w:val="00E13F78"/>
    <w:rsid w:val="00E14B50"/>
    <w:rsid w:val="00E22526"/>
    <w:rsid w:val="00E31568"/>
    <w:rsid w:val="00E32447"/>
    <w:rsid w:val="00E36D6F"/>
    <w:rsid w:val="00E4202F"/>
    <w:rsid w:val="00E42F63"/>
    <w:rsid w:val="00E44226"/>
    <w:rsid w:val="00E47882"/>
    <w:rsid w:val="00E62B2A"/>
    <w:rsid w:val="00E827AF"/>
    <w:rsid w:val="00E856E4"/>
    <w:rsid w:val="00E97F53"/>
    <w:rsid w:val="00EA24F0"/>
    <w:rsid w:val="00EB3504"/>
    <w:rsid w:val="00EB370B"/>
    <w:rsid w:val="00EC28FC"/>
    <w:rsid w:val="00EC3011"/>
    <w:rsid w:val="00EC5FBC"/>
    <w:rsid w:val="00ED3A69"/>
    <w:rsid w:val="00ED4748"/>
    <w:rsid w:val="00EE1875"/>
    <w:rsid w:val="00EE2EB4"/>
    <w:rsid w:val="00EE363B"/>
    <w:rsid w:val="00EE6355"/>
    <w:rsid w:val="00EE7892"/>
    <w:rsid w:val="00EF0D89"/>
    <w:rsid w:val="00EF3656"/>
    <w:rsid w:val="00EF5E1C"/>
    <w:rsid w:val="00EF67B9"/>
    <w:rsid w:val="00F019BE"/>
    <w:rsid w:val="00F06392"/>
    <w:rsid w:val="00F26690"/>
    <w:rsid w:val="00F279EF"/>
    <w:rsid w:val="00F337F5"/>
    <w:rsid w:val="00F5416A"/>
    <w:rsid w:val="00F57E74"/>
    <w:rsid w:val="00F60EA5"/>
    <w:rsid w:val="00F726F9"/>
    <w:rsid w:val="00F731EE"/>
    <w:rsid w:val="00F775C7"/>
    <w:rsid w:val="00F80D5F"/>
    <w:rsid w:val="00F831E1"/>
    <w:rsid w:val="00F85F1D"/>
    <w:rsid w:val="00F90571"/>
    <w:rsid w:val="00F9294D"/>
    <w:rsid w:val="00F96E37"/>
    <w:rsid w:val="00FA15E6"/>
    <w:rsid w:val="00FB1D8F"/>
    <w:rsid w:val="00FB5DD6"/>
    <w:rsid w:val="00FB63A7"/>
    <w:rsid w:val="00FC2353"/>
    <w:rsid w:val="00FE28C8"/>
    <w:rsid w:val="00FE303E"/>
    <w:rsid w:val="00FE5DC2"/>
    <w:rsid w:val="00FF12B3"/>
    <w:rsid w:val="00FF2C36"/>
    <w:rsid w:val="00FF3FE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A2BB914"/>
  <w15:docId w15:val="{C6D58718-DC1F-4665-A113-A8374B7F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2C"/>
    <w:rPr>
      <w:sz w:val="24"/>
      <w:szCs w:val="24"/>
    </w:rPr>
  </w:style>
  <w:style w:type="paragraph" w:styleId="Heading1">
    <w:name w:val="heading 1"/>
    <w:basedOn w:val="Normal"/>
    <w:next w:val="Normal"/>
    <w:qFormat/>
    <w:rsid w:val="0007342C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7342C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07342C"/>
    <w:pPr>
      <w:keepNext/>
      <w:ind w:left="144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07342C"/>
    <w:pPr>
      <w:keepNext/>
      <w:tabs>
        <w:tab w:val="num" w:pos="360"/>
      </w:tabs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3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7342C"/>
    <w:rPr>
      <w:rFonts w:ascii="Arial" w:hAnsi="Arial" w:cs="Arial"/>
      <w:sz w:val="20"/>
    </w:rPr>
  </w:style>
  <w:style w:type="character" w:styleId="PageNumber">
    <w:name w:val="page number"/>
    <w:basedOn w:val="DefaultParagraphFont"/>
    <w:semiHidden/>
    <w:rsid w:val="0007342C"/>
  </w:style>
  <w:style w:type="paragraph" w:styleId="Subtitle">
    <w:name w:val="Subtitle"/>
    <w:basedOn w:val="Normal"/>
    <w:qFormat/>
    <w:rsid w:val="0007342C"/>
    <w:rPr>
      <w:rFonts w:ascii="Arial" w:hAnsi="Arial" w:cs="Arial"/>
      <w:sz w:val="36"/>
    </w:rPr>
  </w:style>
  <w:style w:type="paragraph" w:styleId="BodyText2">
    <w:name w:val="Body Text 2"/>
    <w:basedOn w:val="Normal"/>
    <w:semiHidden/>
    <w:rsid w:val="0007342C"/>
    <w:rPr>
      <w:color w:val="000000"/>
      <w:sz w:val="22"/>
      <w:szCs w:val="12"/>
    </w:rPr>
  </w:style>
  <w:style w:type="paragraph" w:styleId="ListParagraph">
    <w:name w:val="List Paragraph"/>
    <w:basedOn w:val="Normal"/>
    <w:uiPriority w:val="34"/>
    <w:qFormat/>
    <w:rsid w:val="00F77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A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B71C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2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7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63123298C424098FB0FAE7928CB93" ma:contentTypeVersion="5" ma:contentTypeDescription="Create a new document." ma:contentTypeScope="" ma:versionID="b65649494cccff49e1603e9a008424c5">
  <xsd:schema xmlns:xsd="http://www.w3.org/2001/XMLSchema" xmlns:xs="http://www.w3.org/2001/XMLSchema" xmlns:p="http://schemas.microsoft.com/office/2006/metadata/properties" xmlns:ns2="http://schemas.microsoft.com/sharepoint/v4" xmlns:ns3="8b06a407-9452-4f67-bfa8-9851b1d68133" targetNamespace="http://schemas.microsoft.com/office/2006/metadata/properties" ma:root="true" ma:fieldsID="0d79e2b462e76f7a76fb09b70e450ba5" ns2:_="" ns3:_="">
    <xsd:import namespace="http://schemas.microsoft.com/sharepoint/v4"/>
    <xsd:import namespace="8b06a407-9452-4f67-bfa8-9851b1d68133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a407-9452-4f67-bfa8-9851b1d681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FE705-16E5-492C-BE2B-485DF5B6E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A8379-0487-4EFB-9EAC-40787028280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d1b177b-2cb2-4077-ae80-0ddd042fc8dc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AA08757-F4BD-456A-9C40-2833559C2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757C3-898D-4D70-BF00-7F421A943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910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Forecast – January 2022</vt:lpstr>
    </vt:vector>
  </TitlesOfParts>
  <Company>MoDOT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4_Financial Forecast Update Attachment 1</dc:title>
  <dc:creator>reeser1</dc:creator>
  <cp:lastModifiedBy>Korrie L. Anderson</cp:lastModifiedBy>
  <cp:revision>34</cp:revision>
  <cp:lastPrinted>2021-12-02T16:16:00Z</cp:lastPrinted>
  <dcterms:created xsi:type="dcterms:W3CDTF">2020-11-01T13:54:00Z</dcterms:created>
  <dcterms:modified xsi:type="dcterms:W3CDTF">2021-12-07T13:58:00Z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0x010100A4363123298C424098FB0FAE7928CB93</vt:lpwstr>
  </property>
  <property fmtid="{D5CDD505-2E9C-101B-9397-08002B2CF9AE}" pid="3" name="Order">
    <vt:r8>3697200</vt:r8>
  </property>
  <property fmtid="{D5CDD505-2E9C-101B-9397-08002B2CF9AE}" pid="4" name="TaxCatchAll">
    <vt:lpwstr/>
  </property>
</Properties>
</file>