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6E6C" w14:textId="716362BA" w:rsidR="00F64FF3" w:rsidRDefault="00F64FF3" w:rsidP="00F64FF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4BD172" w14:textId="4C884570" w:rsidR="00F64FF3" w:rsidRPr="008F73F3" w:rsidRDefault="00F64FF3" w:rsidP="00F64FF3">
      <w:pPr>
        <w:jc w:val="center"/>
        <w:rPr>
          <w:b/>
          <w:sz w:val="28"/>
          <w:szCs w:val="28"/>
        </w:rPr>
      </w:pPr>
      <w:r w:rsidRPr="008F73F3">
        <w:rPr>
          <w:b/>
          <w:sz w:val="28"/>
          <w:szCs w:val="28"/>
        </w:rPr>
        <w:t>Vehicle</w:t>
      </w:r>
      <w:r w:rsidR="00FA2C3E" w:rsidRPr="008F73F3">
        <w:rPr>
          <w:b/>
          <w:sz w:val="28"/>
          <w:szCs w:val="28"/>
        </w:rPr>
        <w:t xml:space="preserve"> Useful Life and </w:t>
      </w:r>
      <w:r w:rsidRPr="008F73F3">
        <w:rPr>
          <w:b/>
          <w:sz w:val="28"/>
          <w:szCs w:val="28"/>
        </w:rPr>
        <w:t>Disposition</w:t>
      </w:r>
      <w:r w:rsidR="00FA2C3E" w:rsidRPr="008F73F3">
        <w:rPr>
          <w:b/>
          <w:sz w:val="28"/>
          <w:szCs w:val="28"/>
        </w:rPr>
        <w:t xml:space="preserve"> Guidelines</w:t>
      </w:r>
      <w:r w:rsidRPr="008F73F3">
        <w:rPr>
          <w:b/>
          <w:sz w:val="28"/>
          <w:szCs w:val="28"/>
        </w:rPr>
        <w:t xml:space="preserve"> </w:t>
      </w:r>
    </w:p>
    <w:p w14:paraId="26BEEA4E" w14:textId="77777777" w:rsidR="002E2A20" w:rsidRPr="008F73F3" w:rsidRDefault="002E2A20" w:rsidP="00F64FF3">
      <w:pPr>
        <w:jc w:val="center"/>
        <w:rPr>
          <w:sz w:val="28"/>
          <w:szCs w:val="28"/>
        </w:rPr>
      </w:pPr>
    </w:p>
    <w:p w14:paraId="5935B70F" w14:textId="29DCB376" w:rsidR="008E3E4D" w:rsidRDefault="00F124E2" w:rsidP="00F64FF3">
      <w:pPr>
        <w:rPr>
          <w:b/>
        </w:rPr>
      </w:pPr>
      <w:r>
        <w:rPr>
          <w:b/>
        </w:rPr>
        <w:t xml:space="preserve">Vehicle </w:t>
      </w:r>
      <w:r w:rsidR="008E3E4D">
        <w:rPr>
          <w:b/>
        </w:rPr>
        <w:t>Useful Life Guid</w:t>
      </w:r>
      <w:r w:rsidR="00FA2C3E">
        <w:rPr>
          <w:b/>
        </w:rPr>
        <w:t>elines</w:t>
      </w:r>
      <w:r w:rsidR="008E3E4D">
        <w:rPr>
          <w:b/>
        </w:rPr>
        <w:t xml:space="preserve">: </w:t>
      </w:r>
    </w:p>
    <w:p w14:paraId="21B316DE" w14:textId="77777777" w:rsidR="00FA2C3E" w:rsidRDefault="00FA2C3E" w:rsidP="00F64FF3">
      <w:pPr>
        <w:rPr>
          <w:b/>
        </w:rPr>
      </w:pPr>
    </w:p>
    <w:tbl>
      <w:tblPr>
        <w:tblW w:w="6107" w:type="dxa"/>
        <w:tblInd w:w="1160" w:type="dxa"/>
        <w:tblLook w:val="04A0" w:firstRow="1" w:lastRow="0" w:firstColumn="1" w:lastColumn="0" w:noHBand="0" w:noVBand="1"/>
      </w:tblPr>
      <w:tblGrid>
        <w:gridCol w:w="2687"/>
        <w:gridCol w:w="3420"/>
      </w:tblGrid>
      <w:tr w:rsidR="00FA2C3E" w:rsidRPr="00FA2C3E" w14:paraId="62685C20" w14:textId="77777777" w:rsidTr="003B7AD3">
        <w:trPr>
          <w:trHeight w:val="306"/>
        </w:trPr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CAD" w14:textId="77777777" w:rsidR="00FA2C3E" w:rsidRPr="00FA2C3E" w:rsidRDefault="00FA2C3E" w:rsidP="00FA2C3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A2C3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Missouri Department of Transportation - Transit </w:t>
            </w:r>
          </w:p>
        </w:tc>
      </w:tr>
      <w:tr w:rsidR="00FA2C3E" w:rsidRPr="00FA2C3E" w14:paraId="496FD296" w14:textId="77777777" w:rsidTr="003B7AD3">
        <w:trPr>
          <w:trHeight w:val="174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B50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74A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C3E" w:rsidRPr="00FA2C3E" w14:paraId="1A9EB028" w14:textId="77777777" w:rsidTr="003B7AD3">
        <w:trPr>
          <w:trHeight w:val="274"/>
        </w:trPr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0E1" w14:textId="20AF0CD4" w:rsidR="00FA2C3E" w:rsidRPr="00FA2C3E" w:rsidRDefault="00FA2C3E" w:rsidP="00FA2C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Vehicle Use and Disposition (all programs)</w:t>
            </w:r>
          </w:p>
        </w:tc>
      </w:tr>
      <w:tr w:rsidR="00FA2C3E" w:rsidRPr="00FA2C3E" w14:paraId="64545FA3" w14:textId="77777777" w:rsidTr="003B7AD3">
        <w:trPr>
          <w:trHeight w:val="119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4D8AEE5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BA6228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A2C3E" w:rsidRPr="00FA2C3E" w14:paraId="44F45CC4" w14:textId="77777777" w:rsidTr="003B7AD3">
        <w:trPr>
          <w:trHeight w:val="656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D885" w14:textId="5483969A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Vans - straight, modified, sedans, lowered floor and other vehicles (</w:t>
            </w:r>
            <w:r w:rsidR="00F124E2" w:rsidRPr="00FA2C3E">
              <w:rPr>
                <w:rFonts w:ascii="Calibri" w:hAnsi="Calibri"/>
                <w:color w:val="000000"/>
                <w:sz w:val="20"/>
              </w:rPr>
              <w:t>minivan</w:t>
            </w:r>
            <w:r w:rsidRPr="00FA2C3E"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13CC" w14:textId="77777777" w:rsidR="00FA2C3E" w:rsidRPr="00FA2C3E" w:rsidRDefault="00FA2C3E" w:rsidP="00FA2C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4 years or 100,000 miles</w:t>
            </w:r>
          </w:p>
        </w:tc>
      </w:tr>
      <w:tr w:rsidR="00FA2C3E" w:rsidRPr="00FA2C3E" w14:paraId="0216BCEA" w14:textId="77777777" w:rsidTr="003B7AD3">
        <w:trPr>
          <w:trHeight w:val="119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979501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3C4457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A2C3E" w:rsidRPr="00FA2C3E" w14:paraId="1138671B" w14:textId="77777777" w:rsidTr="003B7AD3">
        <w:trPr>
          <w:trHeight w:val="459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0180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25' - 35' Light duty transit bus,  cutaways - body on van chassis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5096" w14:textId="77777777" w:rsidR="00FA2C3E" w:rsidRPr="00FA2C3E" w:rsidRDefault="00FA2C3E" w:rsidP="00FA2C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5 years or 150,000 miles</w:t>
            </w:r>
          </w:p>
        </w:tc>
      </w:tr>
      <w:tr w:rsidR="00FA2C3E" w:rsidRPr="00FA2C3E" w14:paraId="62C030C3" w14:textId="77777777" w:rsidTr="003B7AD3">
        <w:trPr>
          <w:trHeight w:val="56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D83DC4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C66290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A2C3E" w:rsidRPr="00FA2C3E" w14:paraId="40491428" w14:textId="77777777" w:rsidTr="003B7AD3">
        <w:trPr>
          <w:trHeight w:val="332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8BD3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 xml:space="preserve">30'  Medium duty transit bus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CF1A" w14:textId="77777777" w:rsidR="00FA2C3E" w:rsidRPr="00FA2C3E" w:rsidRDefault="00FA2C3E" w:rsidP="00FA2C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 xml:space="preserve">7 years or  200,000 miles </w:t>
            </w:r>
          </w:p>
        </w:tc>
      </w:tr>
      <w:tr w:rsidR="00FA2C3E" w:rsidRPr="00FA2C3E" w14:paraId="443C971C" w14:textId="77777777" w:rsidTr="003B7AD3">
        <w:trPr>
          <w:trHeight w:val="179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9708BD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371C12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A2C3E" w:rsidRPr="00FA2C3E" w14:paraId="67008377" w14:textId="77777777" w:rsidTr="003B7AD3">
        <w:trPr>
          <w:trHeight w:val="34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EC54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 xml:space="preserve">30' Heavy duty transit bus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4694" w14:textId="77777777" w:rsidR="00FA2C3E" w:rsidRPr="00FA2C3E" w:rsidRDefault="00FA2C3E" w:rsidP="00FA2C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 xml:space="preserve">10 years or 350,000 miles </w:t>
            </w:r>
          </w:p>
        </w:tc>
      </w:tr>
      <w:tr w:rsidR="00FA2C3E" w:rsidRPr="00FA2C3E" w14:paraId="49F79524" w14:textId="77777777" w:rsidTr="003B7AD3">
        <w:trPr>
          <w:trHeight w:val="166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C0550F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8BD85A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A2C3E" w:rsidRPr="00FA2C3E" w14:paraId="2D64C941" w14:textId="77777777" w:rsidTr="003B7AD3">
        <w:trPr>
          <w:trHeight w:val="419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5282" w14:textId="77777777" w:rsidR="00FA2C3E" w:rsidRPr="00FA2C3E" w:rsidRDefault="00FA2C3E" w:rsidP="00FA2C3E">
            <w:pPr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35' - 40' Heavy duty bus and transit buses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1A32" w14:textId="77777777" w:rsidR="00FA2C3E" w:rsidRPr="00FA2C3E" w:rsidRDefault="00FA2C3E" w:rsidP="00FA2C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FA2C3E">
              <w:rPr>
                <w:rFonts w:ascii="Calibri" w:hAnsi="Calibri"/>
                <w:color w:val="000000"/>
                <w:sz w:val="20"/>
              </w:rPr>
              <w:t>12 years or 500,000 miles</w:t>
            </w:r>
          </w:p>
        </w:tc>
      </w:tr>
    </w:tbl>
    <w:p w14:paraId="6C99F9FC" w14:textId="77777777" w:rsidR="008E3E4D" w:rsidRDefault="008E3E4D" w:rsidP="00F64FF3">
      <w:pPr>
        <w:rPr>
          <w:b/>
        </w:rPr>
      </w:pPr>
    </w:p>
    <w:p w14:paraId="001F8409" w14:textId="77777777" w:rsidR="00F64FF3" w:rsidRDefault="00F64FF3" w:rsidP="00F64FF3">
      <w:pPr>
        <w:rPr>
          <w:b/>
        </w:rPr>
      </w:pPr>
      <w:r w:rsidRPr="00F64FF3">
        <w:rPr>
          <w:b/>
        </w:rPr>
        <w:t xml:space="preserve">Disposition Procedure:  </w:t>
      </w:r>
    </w:p>
    <w:p w14:paraId="052F7972" w14:textId="77777777" w:rsidR="002E2A20" w:rsidRDefault="002E2A20" w:rsidP="00F64FF3"/>
    <w:p w14:paraId="0BAEBC56" w14:textId="5418F043" w:rsidR="00F64FF3" w:rsidRPr="00FA2C3E" w:rsidRDefault="00F64FF3" w:rsidP="00F64FF3">
      <w:pPr>
        <w:rPr>
          <w:sz w:val="20"/>
        </w:rPr>
      </w:pPr>
      <w:r w:rsidRPr="00FA2C3E">
        <w:rPr>
          <w:sz w:val="20"/>
        </w:rPr>
        <w:t>A recipient may dispose of a vehicle in either of two ways:</w:t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</w:p>
    <w:p w14:paraId="3A011976" w14:textId="2590DE52" w:rsidR="00F64FF3" w:rsidRPr="00FA2C3E" w:rsidRDefault="00F64FF3" w:rsidP="00F64FF3">
      <w:pPr>
        <w:rPr>
          <w:sz w:val="20"/>
        </w:rPr>
      </w:pPr>
      <w:r w:rsidRPr="00FA2C3E">
        <w:rPr>
          <w:sz w:val="20"/>
        </w:rPr>
        <w:tab/>
      </w:r>
      <w:r w:rsidRPr="00FA2C3E">
        <w:rPr>
          <w:b/>
          <w:sz w:val="20"/>
        </w:rPr>
        <w:t>1.</w:t>
      </w:r>
      <w:r w:rsidRPr="00FA2C3E">
        <w:rPr>
          <w:sz w:val="20"/>
        </w:rPr>
        <w:t xml:space="preserve">      A vehicle may be sold outright to a third party through a variety of approved processes.  These </w:t>
      </w:r>
      <w:r w:rsidR="00D73D89" w:rsidRPr="00FA2C3E">
        <w:rPr>
          <w:sz w:val="20"/>
        </w:rPr>
        <w:t>include</w:t>
      </w:r>
      <w:r w:rsidRPr="00FA2C3E">
        <w:rPr>
          <w:sz w:val="20"/>
        </w:rPr>
        <w:t xml:space="preserve"> advertised </w:t>
      </w:r>
      <w:r w:rsidR="00D407B5">
        <w:rPr>
          <w:sz w:val="20"/>
        </w:rPr>
        <w:t xml:space="preserve">sealed </w:t>
      </w:r>
      <w:r w:rsidRPr="00FA2C3E">
        <w:rPr>
          <w:sz w:val="20"/>
        </w:rPr>
        <w:t xml:space="preserve">bids, auto auction or the average of three </w:t>
      </w:r>
      <w:r w:rsidR="002E2A20" w:rsidRPr="00FA2C3E">
        <w:rPr>
          <w:sz w:val="20"/>
        </w:rPr>
        <w:t>competitive</w:t>
      </w:r>
      <w:r w:rsidRPr="00FA2C3E">
        <w:rPr>
          <w:sz w:val="20"/>
        </w:rPr>
        <w:t xml:space="preserve"> appraisals.</w:t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</w:p>
    <w:p w14:paraId="573A9158" w14:textId="35536F00" w:rsidR="00F64FF3" w:rsidRPr="00FA2C3E" w:rsidRDefault="00F64FF3" w:rsidP="00F64FF3">
      <w:pPr>
        <w:ind w:firstLine="720"/>
        <w:rPr>
          <w:sz w:val="20"/>
        </w:rPr>
      </w:pPr>
      <w:r w:rsidRPr="00FA2C3E">
        <w:rPr>
          <w:b/>
          <w:sz w:val="20"/>
        </w:rPr>
        <w:t>2.</w:t>
      </w:r>
      <w:r w:rsidR="002E2A20" w:rsidRPr="00FA2C3E">
        <w:rPr>
          <w:sz w:val="20"/>
        </w:rPr>
        <w:t xml:space="preserve">    A v</w:t>
      </w:r>
      <w:r w:rsidRPr="00FA2C3E">
        <w:rPr>
          <w:sz w:val="20"/>
        </w:rPr>
        <w:t>ehicle may be sold by the recipient to itself</w:t>
      </w:r>
      <w:r w:rsidR="002E2A20" w:rsidRPr="00FA2C3E">
        <w:rPr>
          <w:sz w:val="20"/>
        </w:rPr>
        <w:t xml:space="preserve"> (buy back option of the federal interest)</w:t>
      </w:r>
      <w:r w:rsidRPr="00FA2C3E">
        <w:rPr>
          <w:sz w:val="20"/>
        </w:rPr>
        <w:t>.  In this case</w:t>
      </w:r>
      <w:r w:rsidR="002E2A20" w:rsidRPr="00FA2C3E">
        <w:rPr>
          <w:sz w:val="20"/>
        </w:rPr>
        <w:t>,</w:t>
      </w:r>
      <w:r w:rsidRPr="00FA2C3E">
        <w:rPr>
          <w:sz w:val="20"/>
        </w:rPr>
        <w:t xml:space="preserve"> the implicit price to be paid will be the average </w:t>
      </w:r>
      <w:r w:rsidR="002E2A20" w:rsidRPr="00FA2C3E">
        <w:rPr>
          <w:sz w:val="20"/>
        </w:rPr>
        <w:t>fair market</w:t>
      </w:r>
      <w:r w:rsidRPr="00FA2C3E">
        <w:rPr>
          <w:sz w:val="20"/>
        </w:rPr>
        <w:t xml:space="preserve"> value</w:t>
      </w:r>
      <w:r w:rsidR="002E2A20" w:rsidRPr="00FA2C3E">
        <w:rPr>
          <w:sz w:val="20"/>
        </w:rPr>
        <w:t xml:space="preserve"> (FMV)</w:t>
      </w:r>
      <w:r w:rsidRPr="00FA2C3E">
        <w:rPr>
          <w:sz w:val="20"/>
        </w:rPr>
        <w:t xml:space="preserve"> of the vehicle as specified in the most recent National Automobile Dealers Association (NADA) Official Used Car Gu</w:t>
      </w:r>
      <w:r w:rsidR="00D73D89" w:rsidRPr="00FA2C3E">
        <w:rPr>
          <w:sz w:val="20"/>
        </w:rPr>
        <w:t xml:space="preserve">ide or the Bus Blue Book Guide, approved by </w:t>
      </w:r>
      <w:proofErr w:type="spellStart"/>
      <w:r w:rsidR="00D73D89" w:rsidRPr="00FA2C3E">
        <w:rPr>
          <w:sz w:val="20"/>
        </w:rPr>
        <w:t>MoDOT</w:t>
      </w:r>
      <w:proofErr w:type="spellEnd"/>
      <w:r w:rsidR="00D73D89" w:rsidRPr="00FA2C3E">
        <w:rPr>
          <w:sz w:val="20"/>
        </w:rPr>
        <w:t xml:space="preserve">. </w:t>
      </w:r>
    </w:p>
    <w:p w14:paraId="330E437D" w14:textId="7CE6AFC3" w:rsidR="00F64FF3" w:rsidRDefault="00F64FF3" w:rsidP="002E2A20">
      <w:pPr>
        <w:ind w:left="90" w:right="446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2CC5B" w14:textId="4502CC23" w:rsidR="002E2A20" w:rsidRDefault="00F64FF3" w:rsidP="00F64FF3">
      <w:pPr>
        <w:rPr>
          <w:b/>
        </w:rPr>
      </w:pPr>
      <w:r w:rsidRPr="00F64FF3">
        <w:rPr>
          <w:b/>
        </w:rPr>
        <w:t xml:space="preserve">Division of Disposition Proceeds:  </w:t>
      </w:r>
      <w:r w:rsidRPr="00F64FF3">
        <w:rPr>
          <w:b/>
        </w:rPr>
        <w:tab/>
      </w:r>
      <w:r w:rsidRPr="00F64FF3">
        <w:rPr>
          <w:b/>
        </w:rPr>
        <w:tab/>
      </w:r>
    </w:p>
    <w:p w14:paraId="453FDA7E" w14:textId="48766C8A" w:rsidR="00F64FF3" w:rsidRPr="00F64FF3" w:rsidRDefault="00F64FF3" w:rsidP="00F64FF3">
      <w:pPr>
        <w:rPr>
          <w:b/>
        </w:rPr>
      </w:pPr>
      <w:r w:rsidRPr="00F64FF3">
        <w:rPr>
          <w:b/>
        </w:rPr>
        <w:tab/>
      </w:r>
      <w:r w:rsidRPr="00F64FF3">
        <w:rPr>
          <w:b/>
        </w:rPr>
        <w:tab/>
      </w:r>
      <w:r w:rsidRPr="00F64FF3">
        <w:rPr>
          <w:b/>
        </w:rPr>
        <w:tab/>
      </w:r>
      <w:r w:rsidRPr="00F64FF3">
        <w:rPr>
          <w:b/>
        </w:rPr>
        <w:tab/>
      </w:r>
      <w:r w:rsidRPr="00F64FF3">
        <w:rPr>
          <w:b/>
        </w:rPr>
        <w:tab/>
      </w:r>
      <w:bookmarkStart w:id="0" w:name="_GoBack"/>
      <w:bookmarkEnd w:id="0"/>
    </w:p>
    <w:p w14:paraId="1E0A8142" w14:textId="16D644B6" w:rsidR="00D73D89" w:rsidRPr="00FA2C3E" w:rsidRDefault="00F64FF3" w:rsidP="00F64FF3">
      <w:pPr>
        <w:rPr>
          <w:sz w:val="20"/>
        </w:rPr>
      </w:pPr>
      <w:r>
        <w:tab/>
      </w:r>
      <w:r w:rsidRPr="00FA2C3E">
        <w:rPr>
          <w:b/>
          <w:sz w:val="20"/>
        </w:rPr>
        <w:t>1.</w:t>
      </w:r>
      <w:r w:rsidRPr="00FA2C3E">
        <w:rPr>
          <w:sz w:val="20"/>
        </w:rPr>
        <w:t>      If a vehicle is sold outright to a third party</w:t>
      </w:r>
      <w:r w:rsidR="00D73D89" w:rsidRPr="00FA2C3E">
        <w:rPr>
          <w:sz w:val="20"/>
        </w:rPr>
        <w:t xml:space="preserve"> (advertised bids, auto auction</w:t>
      </w:r>
      <w:r w:rsidRPr="00FA2C3E">
        <w:rPr>
          <w:sz w:val="20"/>
        </w:rPr>
        <w:t>,</w:t>
      </w:r>
      <w:r w:rsidR="00D73D89" w:rsidRPr="00FA2C3E">
        <w:rPr>
          <w:sz w:val="20"/>
        </w:rPr>
        <w:t xml:space="preserve"> etc.)</w:t>
      </w:r>
      <w:r w:rsidR="00F124E2">
        <w:rPr>
          <w:sz w:val="20"/>
        </w:rPr>
        <w:t>,</w:t>
      </w:r>
      <w:r w:rsidRPr="00FA2C3E">
        <w:rPr>
          <w:sz w:val="20"/>
        </w:rPr>
        <w:t xml:space="preserve"> the recipient may retain 20% of the </w:t>
      </w:r>
      <w:r w:rsidR="00541584">
        <w:rPr>
          <w:b/>
          <w:sz w:val="20"/>
        </w:rPr>
        <w:t>sale</w:t>
      </w:r>
      <w:r w:rsidRPr="00FA2C3E">
        <w:rPr>
          <w:b/>
          <w:sz w:val="20"/>
        </w:rPr>
        <w:t xml:space="preserve"> </w:t>
      </w:r>
      <w:r w:rsidRPr="00FA2C3E">
        <w:rPr>
          <w:sz w:val="20"/>
        </w:rPr>
        <w:t>price plus $225</w:t>
      </w:r>
      <w:r w:rsidR="00D73D89" w:rsidRPr="00FA2C3E">
        <w:rPr>
          <w:sz w:val="20"/>
        </w:rPr>
        <w:t xml:space="preserve"> </w:t>
      </w:r>
      <w:r w:rsidR="00F124E2">
        <w:rPr>
          <w:sz w:val="20"/>
        </w:rPr>
        <w:t xml:space="preserve">for administration fees. </w:t>
      </w:r>
      <w:r w:rsidRPr="00FA2C3E">
        <w:rPr>
          <w:sz w:val="20"/>
        </w:rPr>
        <w:t xml:space="preserve">  The balance must be paid to </w:t>
      </w:r>
      <w:proofErr w:type="spellStart"/>
      <w:r w:rsidR="00F124E2">
        <w:rPr>
          <w:sz w:val="20"/>
        </w:rPr>
        <w:t>MoDOT</w:t>
      </w:r>
      <w:proofErr w:type="spellEnd"/>
      <w:r w:rsidR="00F124E2">
        <w:rPr>
          <w:sz w:val="20"/>
        </w:rPr>
        <w:t xml:space="preserve"> – Transit </w:t>
      </w:r>
      <w:r w:rsidRPr="00FA2C3E">
        <w:rPr>
          <w:sz w:val="20"/>
        </w:rPr>
        <w:t xml:space="preserve"> within 10 working days.</w:t>
      </w:r>
      <w:r w:rsidRPr="00FA2C3E">
        <w:rPr>
          <w:sz w:val="20"/>
        </w:rPr>
        <w:tab/>
      </w:r>
    </w:p>
    <w:p w14:paraId="3DADE393" w14:textId="140D7F48" w:rsidR="00F64FF3" w:rsidRPr="00FA2C3E" w:rsidRDefault="00F64FF3" w:rsidP="00F64FF3">
      <w:pPr>
        <w:rPr>
          <w:sz w:val="20"/>
        </w:rPr>
      </w:pP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  <w:r w:rsidRPr="00FA2C3E">
        <w:rPr>
          <w:sz w:val="20"/>
        </w:rPr>
        <w:tab/>
      </w:r>
    </w:p>
    <w:p w14:paraId="5F61E1B0" w14:textId="77777777" w:rsidR="00625C6C" w:rsidRDefault="00F64FF3" w:rsidP="00F64FF3">
      <w:pPr>
        <w:rPr>
          <w:sz w:val="20"/>
        </w:rPr>
      </w:pPr>
      <w:r>
        <w:tab/>
      </w:r>
      <w:r w:rsidRPr="00FA2C3E">
        <w:rPr>
          <w:b/>
          <w:sz w:val="20"/>
        </w:rPr>
        <w:t>2.</w:t>
      </w:r>
      <w:r w:rsidRPr="00FA2C3E">
        <w:rPr>
          <w:sz w:val="20"/>
        </w:rPr>
        <w:t>      If a recipient sells a vehicle to itself</w:t>
      </w:r>
      <w:r w:rsidR="00D73D89" w:rsidRPr="00FA2C3E">
        <w:rPr>
          <w:sz w:val="20"/>
        </w:rPr>
        <w:t xml:space="preserve"> (</w:t>
      </w:r>
      <w:r w:rsidR="00F124E2">
        <w:rPr>
          <w:sz w:val="20"/>
        </w:rPr>
        <w:t xml:space="preserve">the </w:t>
      </w:r>
      <w:r w:rsidR="00D73D89" w:rsidRPr="00FA2C3E">
        <w:rPr>
          <w:sz w:val="20"/>
        </w:rPr>
        <w:t>buyback option)</w:t>
      </w:r>
      <w:r w:rsidRPr="00FA2C3E">
        <w:rPr>
          <w:sz w:val="20"/>
        </w:rPr>
        <w:t xml:space="preserve">, the recipient must pay 80% of the </w:t>
      </w:r>
      <w:r w:rsidR="00F124E2">
        <w:rPr>
          <w:sz w:val="20"/>
        </w:rPr>
        <w:t xml:space="preserve">average FMV </w:t>
      </w:r>
      <w:r w:rsidR="00975F2E" w:rsidRPr="00FA2C3E">
        <w:rPr>
          <w:sz w:val="20"/>
        </w:rPr>
        <w:t>as describe above</w:t>
      </w:r>
      <w:r w:rsidR="00D14809">
        <w:rPr>
          <w:sz w:val="20"/>
        </w:rPr>
        <w:t xml:space="preserve"> (excluding the $225) </w:t>
      </w:r>
      <w:r w:rsidRPr="00FA2C3E">
        <w:rPr>
          <w:sz w:val="20"/>
        </w:rPr>
        <w:t xml:space="preserve">to </w:t>
      </w:r>
      <w:proofErr w:type="spellStart"/>
      <w:r w:rsidR="00975F2E" w:rsidRPr="00FA2C3E">
        <w:rPr>
          <w:sz w:val="20"/>
        </w:rPr>
        <w:t>MoDOT</w:t>
      </w:r>
      <w:proofErr w:type="spellEnd"/>
      <w:r w:rsidR="00975F2E" w:rsidRPr="00FA2C3E">
        <w:rPr>
          <w:sz w:val="20"/>
        </w:rPr>
        <w:t xml:space="preserve"> </w:t>
      </w:r>
      <w:r w:rsidRPr="00FA2C3E">
        <w:rPr>
          <w:sz w:val="20"/>
        </w:rPr>
        <w:t>within 10 working days.</w:t>
      </w:r>
    </w:p>
    <w:p w14:paraId="520D73FF" w14:textId="77777777" w:rsidR="00625C6C" w:rsidRDefault="00625C6C" w:rsidP="00F64FF3">
      <w:pPr>
        <w:rPr>
          <w:sz w:val="20"/>
        </w:rPr>
      </w:pPr>
    </w:p>
    <w:p w14:paraId="35B48F25" w14:textId="2CFA299A" w:rsidR="002E2A20" w:rsidRPr="00625C6C" w:rsidRDefault="00625C6C" w:rsidP="00F64FF3">
      <w:pPr>
        <w:rPr>
          <w:b/>
        </w:rPr>
      </w:pPr>
      <w:r w:rsidRPr="00625C6C">
        <w:rPr>
          <w:b/>
          <w:sz w:val="20"/>
        </w:rPr>
        <w:t xml:space="preserve">All disposition requests must be closed within ninety (90) days. </w:t>
      </w:r>
      <w:r w:rsidR="00F64FF3" w:rsidRPr="00625C6C">
        <w:rPr>
          <w:b/>
          <w:sz w:val="20"/>
        </w:rPr>
        <w:tab/>
      </w:r>
    </w:p>
    <w:sectPr w:rsidR="002E2A20" w:rsidRPr="00625C6C" w:rsidSect="005D3B38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1440" w:right="1440" w:bottom="1886" w:left="1714" w:header="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DD0E7" w14:textId="77777777" w:rsidR="00685AD7" w:rsidRDefault="00685AD7">
      <w:r>
        <w:separator/>
      </w:r>
    </w:p>
  </w:endnote>
  <w:endnote w:type="continuationSeparator" w:id="0">
    <w:p w14:paraId="150DD0E8" w14:textId="77777777" w:rsidR="00685AD7" w:rsidRDefault="006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D0EB" w14:textId="77777777" w:rsidR="00D63FEC" w:rsidRDefault="00D63FEC"/>
  <w:p w14:paraId="150DD0EC" w14:textId="77777777" w:rsidR="00D63FEC" w:rsidRDefault="00D63FEC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14:paraId="150DD0ED" w14:textId="77777777" w:rsidR="00D63FEC" w:rsidRDefault="00D63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D0F7" w14:textId="751F3840" w:rsidR="00D63FEC" w:rsidRDefault="00541584" w:rsidP="0052679E">
    <w:pPr>
      <w:pStyle w:val="Footer"/>
      <w:tabs>
        <w:tab w:val="clear" w:pos="4320"/>
        <w:tab w:val="clear" w:pos="8640"/>
        <w:tab w:val="left" w:pos="6622"/>
      </w:tabs>
      <w:ind w:left="-630" w:firstLine="270"/>
    </w:pPr>
    <w:r w:rsidRPr="00541584"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BDD467" wp14:editId="3AAF7A2C">
              <wp:simplePos x="0" y="0"/>
              <wp:positionH relativeFrom="column">
                <wp:posOffset>1105535</wp:posOffset>
              </wp:positionH>
              <wp:positionV relativeFrom="paragraph">
                <wp:posOffset>-596092</wp:posOffset>
              </wp:positionV>
              <wp:extent cx="398970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1F4BC" w14:textId="77777777" w:rsidR="00541584" w:rsidRPr="00F87660" w:rsidRDefault="00541584" w:rsidP="00541584">
                          <w:pPr>
                            <w:spacing w:after="8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Our mission is to provide a world-class transportation system that is safe, innovative, reliable and dedicated to a prosperous Missouri.</w:t>
                          </w:r>
                        </w:p>
                        <w:p w14:paraId="4F0697B4" w14:textId="77777777" w:rsidR="00541584" w:rsidRPr="00F87660" w:rsidRDefault="00541584" w:rsidP="00541584">
                          <w:pPr>
                            <w:spacing w:after="80"/>
                            <w:rPr>
                              <w:rFonts w:ascii="Calibri" w:hAnsi="Calibri" w:cs="Calibri"/>
                              <w:b/>
                              <w:sz w:val="10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7.05pt;margin-top:-46.95pt;width:314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xgEAIAAPwDAAAOAAAAZHJzL2Uyb0RvYy54bWysU9uO2yAQfa/Uf0C8N3aySZNYIavtblNV&#10;2l6k3X4AxjhGBYYCiZ1+fQecTaP2rSoPiGGYM3PODJvbwWhylD4osIxOJyUl0gpolN0z+u1592ZF&#10;SYjcNlyDlYyeZKC329evNr2r5Aw60I30BEFsqHrHaBejq4oiiE4aHibgpEVnC97wiKbfF43nPaIb&#10;XczK8m3Rg2+cByFDwNuH0Um3Gb9tpYhf2jbISDSjWFvMu897nfZiu+HV3nPXKXEug/9DFYYri0kv&#10;UA88cnLw6i8oo4SHAG2cCDAFtK0SMnNANtPyDzZPHXcyc0FxgrvIFP4frPh8/OqJahi9KZeUWG6w&#10;Sc9yiOQdDGSW9OldqPDZk8OHccBr7HPmGtwjiO+BWLjvuN3LO++h7yRvsL5piiyuQkeckEDq/hM0&#10;mIYfImSgofUmiYdyEETHPp0uvUmlCLy8Wa/Wy3JBiUDfdF6ivcg5ePUS7nyIHyQYkg6Memx+hufH&#10;xxBTObx6eZKyWdgprfMAaEt6RteL2SIHXHmMijifWhlGV2Va48Qklu9tk4MjV3o8YwJtz7QT05Fz&#10;HOohK3xRs4bmhDp4GMcRvw8eOvA/KelxFBkNPw7cS0r0R4tarqfzeZrdbMwXyxka/tpTX3u4FQjF&#10;aKRkPN7HPO+JcnB3qPlOZTVSc8ZKziXjiGWRzt8hzfC1nV/9/rTbXwAAAP//AwBQSwMEFAAGAAgA&#10;AAAhADk8q0XfAAAACwEAAA8AAABkcnMvZG93bnJldi54bWxMj8FOwzAQRO9I/IO1SNxau6YibYhT&#10;VagtR0qJOLuxSSLitRW7afh7lhMcR/M0+7bYTK5nox1i51HBYi6AWay96bBRUL3vZytgMWk0uvdo&#10;FXzbCJvy9qbQufFXfLPjKTWMRjDmWkGbUsg5j3VrnY5zHyxS9+kHpxPFoeFm0Fcadz2XQjxypzuk&#10;C60O9rm19dfp4hSEFA7Zy/B63O72o6g+DpXsmp1S93fT9glYslP6g+FXn9ShJKezv6CJrKecLReE&#10;KpitH9bAiFgJuQR2pkpmEnhZ8P8/lD8AAAD//wMAUEsBAi0AFAAGAAgAAAAhALaDOJL+AAAA4QEA&#10;ABMAAAAAAAAAAAAAAAAAAAAAAFtDb250ZW50X1R5cGVzXS54bWxQSwECLQAUAAYACAAAACEAOP0h&#10;/9YAAACUAQAACwAAAAAAAAAAAAAAAAAvAQAAX3JlbHMvLnJlbHNQSwECLQAUAAYACAAAACEAhNa8&#10;YBACAAD8AwAADgAAAAAAAAAAAAAAAAAuAgAAZHJzL2Uyb0RvYy54bWxQSwECLQAUAAYACAAAACEA&#10;OTyrRd8AAAALAQAADwAAAAAAAAAAAAAAAABqBAAAZHJzL2Rvd25yZXYueG1sUEsFBgAAAAAEAAQA&#10;8wAAAHYFAAAAAA==&#10;" filled="f" stroked="f">
              <v:textbox style="mso-fit-shape-to-text:t">
                <w:txbxContent>
                  <w:p w14:paraId="1DB1F4BC" w14:textId="77777777" w:rsidR="00541584" w:rsidRPr="00F87660" w:rsidRDefault="00541584" w:rsidP="00541584">
                    <w:pPr>
                      <w:spacing w:after="80"/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Our mission is to provide a world-class transportation system that is safe, innovative, reliable and dedicated to a prosperous Missouri.</w:t>
                    </w:r>
                  </w:p>
                  <w:p w14:paraId="4F0697B4" w14:textId="77777777" w:rsidR="00541584" w:rsidRPr="00F87660" w:rsidRDefault="00541584" w:rsidP="00541584">
                    <w:pPr>
                      <w:spacing w:after="80"/>
                      <w:rPr>
                        <w:rFonts w:ascii="Calibri" w:hAnsi="Calibri" w:cs="Calibri"/>
                        <w:b/>
                        <w:sz w:val="10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 w:rsidR="004049AE">
      <w:rPr>
        <w:noProof/>
        <w:lang w:bidi="ar-SA"/>
      </w:rPr>
      <w:drawing>
        <wp:anchor distT="0" distB="0" distL="114300" distR="114300" simplePos="0" relativeHeight="251668480" behindDoc="1" locked="0" layoutInCell="1" allowOverlap="1" wp14:anchorId="32E00155" wp14:editId="0DE27C09">
          <wp:simplePos x="0" y="0"/>
          <wp:positionH relativeFrom="column">
            <wp:posOffset>-229870</wp:posOffset>
          </wp:positionH>
          <wp:positionV relativeFrom="paragraph">
            <wp:posOffset>-683260</wp:posOffset>
          </wp:positionV>
          <wp:extent cx="1336675" cy="746760"/>
          <wp:effectExtent l="0" t="0" r="0" b="0"/>
          <wp:wrapTight wrapText="bothSides">
            <wp:wrapPolygon edited="0">
              <wp:start x="0" y="0"/>
              <wp:lineTo x="0" y="20939"/>
              <wp:lineTo x="21241" y="20939"/>
              <wp:lineTo x="21241" y="0"/>
              <wp:lineTo x="0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2679E">
      <w:tab/>
      <w:t>May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DD0E5" w14:textId="77777777" w:rsidR="00685AD7" w:rsidRDefault="00685AD7">
      <w:r>
        <w:separator/>
      </w:r>
    </w:p>
  </w:footnote>
  <w:footnote w:type="continuationSeparator" w:id="0">
    <w:p w14:paraId="150DD0E6" w14:textId="77777777" w:rsidR="00685AD7" w:rsidRDefault="0068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50DD0E9" w14:textId="77777777" w:rsidR="00D63FEC" w:rsidRDefault="00D63FEC">
        <w:pPr>
          <w:pStyle w:val="HeaderEven"/>
        </w:pPr>
        <w:r>
          <w:t>William Robinett</w:t>
        </w:r>
      </w:p>
    </w:sdtContent>
  </w:sdt>
  <w:p w14:paraId="150DD0EA" w14:textId="77777777" w:rsidR="00D63FEC" w:rsidRDefault="00D63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D0EE" w14:textId="77777777" w:rsidR="00D63FEC" w:rsidRDefault="00D63FEC" w:rsidP="005B609D">
    <w:pPr>
      <w:pStyle w:val="Header"/>
      <w:ind w:firstLine="0"/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150DD0F8" wp14:editId="150DD0F9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7772400" cy="876300"/>
          <wp:effectExtent l="0" t="0" r="0" b="0"/>
          <wp:wrapTight wrapText="bothSides">
            <wp:wrapPolygon edited="0">
              <wp:start x="14029" y="7983"/>
              <wp:lineTo x="3335" y="10330"/>
              <wp:lineTo x="2806" y="10800"/>
              <wp:lineTo x="2806" y="18783"/>
              <wp:lineTo x="19112" y="18783"/>
              <wp:lineTo x="18106" y="15496"/>
              <wp:lineTo x="18159" y="12678"/>
              <wp:lineTo x="17259" y="7983"/>
              <wp:lineTo x="16571" y="7983"/>
              <wp:lineTo x="14029" y="7983"/>
            </wp:wrapPolygon>
          </wp:wrapTight>
          <wp:docPr id="2" name="Picture 1" descr="Letterhead Temp CO above Line 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 CO above Line 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0DD0EF" w14:textId="77777777" w:rsidR="00D63FEC" w:rsidRDefault="00D63FEC" w:rsidP="007617F7">
    <w:pPr>
      <w:pStyle w:val="Header"/>
      <w:ind w:left="-1080"/>
    </w:pPr>
  </w:p>
  <w:p w14:paraId="150DD0F0" w14:textId="77777777" w:rsidR="00D63FEC" w:rsidRDefault="00D63FEC" w:rsidP="007617F7">
    <w:pPr>
      <w:pStyle w:val="Header"/>
      <w:ind w:left="-1080"/>
    </w:pPr>
  </w:p>
  <w:p w14:paraId="150DD0F1" w14:textId="77777777" w:rsidR="00D63FEC" w:rsidRDefault="00D63FEC" w:rsidP="007617F7">
    <w:pPr>
      <w:pStyle w:val="Header"/>
      <w:ind w:left="-1080"/>
    </w:pPr>
  </w:p>
  <w:p w14:paraId="150DD0F2" w14:textId="77777777" w:rsidR="00D63FEC" w:rsidRDefault="00D63FEC" w:rsidP="007617F7">
    <w:pPr>
      <w:pStyle w:val="Header"/>
      <w:ind w:left="-1080"/>
    </w:pPr>
  </w:p>
  <w:p w14:paraId="150DD0F3" w14:textId="77777777" w:rsidR="00D63FEC" w:rsidRDefault="00D63FEC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DD0FA" wp14:editId="150DD0FB">
              <wp:simplePos x="0" y="0"/>
              <wp:positionH relativeFrom="column">
                <wp:posOffset>3881120</wp:posOffset>
              </wp:positionH>
              <wp:positionV relativeFrom="paragraph">
                <wp:posOffset>27940</wp:posOffset>
              </wp:positionV>
              <wp:extent cx="2280920" cy="777240"/>
              <wp:effectExtent l="13970" t="8890" r="12700" b="139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DD104" w14:textId="77777777" w:rsidR="00D63FEC" w:rsidRPr="002F2113" w:rsidRDefault="00D63FEC" w:rsidP="00CD15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sz w:val="18"/>
                              <w:szCs w:val="18"/>
                            </w:rPr>
                            <w:t xml:space="preserve">573.751.2551 </w:t>
                          </w:r>
                        </w:p>
                        <w:p w14:paraId="150DD105" w14:textId="77777777" w:rsidR="00D63FEC" w:rsidRPr="002F2113" w:rsidRDefault="00D63FEC" w:rsidP="00CD15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sz w:val="18"/>
                              <w:szCs w:val="18"/>
                            </w:rPr>
                            <w:t>Fax: 573.751.6555</w:t>
                          </w:r>
                        </w:p>
                        <w:p w14:paraId="150DD106" w14:textId="77777777" w:rsidR="00D63FEC" w:rsidRPr="00D44780" w:rsidRDefault="00D63FEC" w:rsidP="00CD15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sz w:val="18"/>
                              <w:szCs w:val="18"/>
                            </w:rPr>
                            <w:t>1.888</w:t>
                          </w:r>
                          <w:proofErr w:type="gramStart"/>
                          <w:r w:rsidRPr="002F2113">
                            <w:rPr>
                              <w:sz w:val="18"/>
                              <w:szCs w:val="18"/>
                            </w:rPr>
                            <w:t>.ASK</w:t>
                          </w:r>
                          <w:proofErr w:type="gramEnd"/>
                          <w:r w:rsidRPr="002F2113">
                            <w:rPr>
                              <w:sz w:val="18"/>
                              <w:szCs w:val="18"/>
                            </w:rPr>
                            <w:t xml:space="preserve"> MODOT (275.6636</w:t>
                          </w:r>
                          <w:r w:rsidRPr="00D4478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5.6pt;margin-top:2.2pt;width:179.6pt;height:6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7hRAIAAIcEAAAOAAAAZHJzL2Uyb0RvYy54bWysVFFv2yAQfp+0/4B4X51YydJadaouXaZJ&#10;XTep3Q/AGNtowDEgsbNfvwPSLO3epvkBwd3xcfd9d76+mbQie+G8BFPT+cWMEmE4tNL0Nf3+tH13&#10;SYkPzLRMgRE1PQhPb9Zv31yPthIlDKBa4QiCGF+NtqZDCLYqCs8HoZm/ACsMOjtwmgU8ur5oHRsR&#10;XauinM3eFyO41jrgwnu03mUnXSf8rhM8fO06LwJRNcXcQlpdWpu4FutrVvWO2UHyYxrsH7LQTBp8&#10;9AR1xwIjOyf/gtKSO/DQhQsOuoCuk1ykGrCa+exVNY8DsyLVguR4e6LJ/z9Y/rD/5ohsa7qkxDCN&#10;Ej2JKZAPMJEysjNaX2HQo8WwMKEZVU6VensP/IcnBjYDM724dQ7GQbAWs5vHm8XZ1YzjI0gzfoEW&#10;n2G7AAlo6pyO1CEZBNFRpcNJmZgKR2NZXs6uSnRx9K1Wq3KRpCtY9XzbOh8+CdAkbmrqUPmEzvb3&#10;PsRsWPUcEh/zoGS7lUqlg+ubjXJkz7BLtulLBbwKU4aMNb1alstMwAuI2LDiBNL0mSS101htBp7P&#10;4pc7Du3Yl9n+XEnq+QiRkn2RoJYBp0RJXdPLM5TI9kfTph4OTKq8x0qVOdIfGc/ch6mZjnI20B5Q&#10;CAd5GnB6cTOA+0XJiJNQU/9zx5ygRH02KObVfIFsk5AOi+UqyuDOPc25hxmOUDUNlOTtJuRx21kn&#10;+wFfyswYuMUG6GTSJnZKzuqYN3Z7YuE4mXGczs8p6s//Y/0bAAD//wMAUEsDBBQABgAIAAAAIQBF&#10;oxaW3gAAAAkBAAAPAAAAZHJzL2Rvd25yZXYueG1sTI/BTsMwDIbvSLxDZCRuLGlVlVKaToC0HeCA&#10;GFy4ZY3XFhqnarKuvD3mxG62/k+/P1frxQ1ixin0njQkKwUCqfG2p1bDx/vmpgARoiFrBk+o4QcD&#10;rOvLi8qU1p/oDeddbAWXUCiNhi7GsZQyNB06E1Z+ROLs4CdnIq9TK+1kTlzuBpkqlUtneuILnRnx&#10;qcPme3d0GsJBPX4Vm0/pt8X08rxk21c7p1pfXy0P9yAiLvEfhj99Voeanfb+SDaIQUOeJCmjGrIM&#10;BOd3t4qHPYNpXoCsK3n+Qf0LAAD//wMAUEsBAi0AFAAGAAgAAAAhALaDOJL+AAAA4QEAABMAAAAA&#10;AAAAAAAAAAAAAAAAAFtDb250ZW50X1R5cGVzXS54bWxQSwECLQAUAAYACAAAACEAOP0h/9YAAACU&#10;AQAACwAAAAAAAAAAAAAAAAAvAQAAX3JlbHMvLnJlbHNQSwECLQAUAAYACAAAACEAHvnu4UQCAACH&#10;BAAADgAAAAAAAAAAAAAAAAAuAgAAZHJzL2Uyb0RvYy54bWxQSwECLQAUAAYACAAAACEARaMWlt4A&#10;AAAJAQAADwAAAAAAAAAAAAAAAACeBAAAZHJzL2Rvd25yZXYueG1sUEsFBgAAAAAEAAQA8wAAAKkF&#10;AAAAAA==&#10;" strokecolor="white [3212]">
              <v:textbox>
                <w:txbxContent>
                  <w:p w14:paraId="150DD104" w14:textId="77777777" w:rsidR="00D63FEC" w:rsidRPr="002F2113" w:rsidRDefault="00D63FEC" w:rsidP="00CD15CE">
                    <w:pPr>
                      <w:rPr>
                        <w:sz w:val="18"/>
                        <w:szCs w:val="18"/>
                      </w:rPr>
                    </w:pPr>
                    <w:r w:rsidRPr="002F2113">
                      <w:rPr>
                        <w:sz w:val="18"/>
                        <w:szCs w:val="18"/>
                      </w:rPr>
                      <w:t xml:space="preserve">573.751.2551 </w:t>
                    </w:r>
                  </w:p>
                  <w:p w14:paraId="150DD105" w14:textId="77777777" w:rsidR="00D63FEC" w:rsidRPr="002F2113" w:rsidRDefault="00D63FEC" w:rsidP="00CD15CE">
                    <w:pPr>
                      <w:rPr>
                        <w:sz w:val="18"/>
                        <w:szCs w:val="18"/>
                      </w:rPr>
                    </w:pPr>
                    <w:r w:rsidRPr="002F2113">
                      <w:rPr>
                        <w:sz w:val="18"/>
                        <w:szCs w:val="18"/>
                      </w:rPr>
                      <w:t>Fax: 573.751.6555</w:t>
                    </w:r>
                  </w:p>
                  <w:p w14:paraId="150DD106" w14:textId="77777777" w:rsidR="00D63FEC" w:rsidRPr="00D44780" w:rsidRDefault="00D63FEC" w:rsidP="00CD15CE">
                    <w:pPr>
                      <w:rPr>
                        <w:sz w:val="18"/>
                        <w:szCs w:val="18"/>
                      </w:rPr>
                    </w:pPr>
                    <w:r w:rsidRPr="002F2113">
                      <w:rPr>
                        <w:sz w:val="18"/>
                        <w:szCs w:val="18"/>
                      </w:rPr>
                      <w:t>1.888</w:t>
                    </w:r>
                    <w:proofErr w:type="gramStart"/>
                    <w:r w:rsidRPr="002F2113">
                      <w:rPr>
                        <w:sz w:val="18"/>
                        <w:szCs w:val="18"/>
                      </w:rPr>
                      <w:t>.ASK</w:t>
                    </w:r>
                    <w:proofErr w:type="gramEnd"/>
                    <w:r w:rsidRPr="002F2113">
                      <w:rPr>
                        <w:sz w:val="18"/>
                        <w:szCs w:val="18"/>
                      </w:rPr>
                      <w:t xml:space="preserve"> MODOT (275.6636</w:t>
                    </w:r>
                    <w:r w:rsidRPr="00D4478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DD0FC" wp14:editId="150DD0FD">
              <wp:simplePos x="0" y="0"/>
              <wp:positionH relativeFrom="column">
                <wp:posOffset>-7620</wp:posOffset>
              </wp:positionH>
              <wp:positionV relativeFrom="paragraph">
                <wp:posOffset>30480</wp:posOffset>
              </wp:positionV>
              <wp:extent cx="2893060" cy="407670"/>
              <wp:effectExtent l="11430" t="11430" r="1016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DD107" w14:textId="77777777" w:rsidR="00D63FEC" w:rsidRDefault="00D63FEC" w:rsidP="00CD15CE">
                          <w:pPr>
                            <w:tabs>
                              <w:tab w:val="left" w:pos="495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Missouri Department of Transportation</w:t>
                          </w:r>
                        </w:p>
                        <w:p w14:paraId="150DD108" w14:textId="33634D33" w:rsidR="00D63FEC" w:rsidRDefault="00625BEE">
                          <w:r>
                            <w:rPr>
                              <w:i/>
                              <w:sz w:val="20"/>
                            </w:rPr>
                            <w:t>Patrick McKenna</w:t>
                          </w:r>
                          <w:r w:rsidR="0046641E">
                            <w:rPr>
                              <w:i/>
                              <w:sz w:val="20"/>
                            </w:rPr>
                            <w:t>,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.6pt;margin-top:2.4pt;width:227.8pt;height:32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IhRwIAAI4EAAAOAAAAZHJzL2Uyb0RvYy54bWysVG1v2yAQ/j5p/wHxfbGTJWka1am6dpkm&#10;dS9Sux+AMbbRgGNAYme/vgc0Wbp+m+YPiOOOh7vnufPV9agV2QvnJZiKTiclJcJwaKTpKvrjcftu&#10;RYkPzDRMgREVPQhPrzdv31wNdi1m0INqhCMIYvx6sBXtQ7DrovC8F5r5CVhh0NmC0yyg6bqicWxA&#10;dK2KWVkuiwFcYx1w4T2e3mUn3ST8thU8fGtbLwJRFcXcQlpdWuu4Fpsrtu4cs73kz2mwf8hCM2nw&#10;0RPUHQuM7Jx8BaUld+ChDRMOuoC2lVykGrCaaflXNQ89syLVguR4e6LJ/z9Y/nX/3RHZVHROiWEa&#10;JXoUYyAfYCTTyM5g/RqDHiyGhRGPUeVUqbf3wH96YuC2Z6YTN87B0AvWYHbpZnF2NeP4CFIPX6DB&#10;Z9guQAIaW6cjdUgGQXRU6XBSJqbC8XC2unxfLtHF0TcvL5YXSbqCrY+3rfPhkwBN4qaiDpVP6Gx/&#10;7wPWgaHHkPiYByWbrVQqGa6rb5Uje4Zdsk1fLB2vvAhThgwVvVzMFpmAFxCxYcUJpO4ySWqnsdoM&#10;PC3jlzsOz7Ev8/mxktTzEeL1y1oGnBIldUVXZyiR7Y+mST0cmFR5j2krgxiR/sh45j6M9Zh0Pqla&#10;Q3NAPRzkocAhxk0P7jclAw5ERf2vHXOCEvXZoKaX0/k8TlAy5ouLGRru3FOfe5jhCFXRQEne3oY8&#10;dTvrZNfjS8cuusE+2MokUcw4Z/WcPjZ9IuN5QONUndsp6s9vZPMEAAD//wMAUEsDBBQABgAIAAAA&#10;IQCley8n3QAAAAcBAAAPAAAAZHJzL2Rvd25yZXYueG1sTI/NTsMwEITvSLyDtUjcWqdVqCDEqQAJ&#10;DhxaNSC4OvHmR9jrKHbS8PYsJziOZjTzTb5fnBUzjqH3pGCzTkAg1d701Cp4f3te3YIIUZPR1hMq&#10;+MYA++LyIteZ8Wc64VzGVnAJhUwr6GIcMilD3aHTYe0HJPYaPzodWY6tNKM+c7mzcpskO+l0T7zQ&#10;6QGfOqy/yskpeHmU1eFUHqvms7Hzq/1w0+HolLq+Wh7uQURc4l8YfvEZHQpmqvxEJgirYLXZclJB&#10;ygfYTm/SFESlYHeXgCxy+Z+/+AEAAP//AwBQSwECLQAUAAYACAAAACEAtoM4kv4AAADhAQAAEwAA&#10;AAAAAAAAAAAAAAAAAAAAW0NvbnRlbnRfVHlwZXNdLnhtbFBLAQItABQABgAIAAAAIQA4/SH/1gAA&#10;AJQBAAALAAAAAAAAAAAAAAAAAC8BAABfcmVscy8ucmVsc1BLAQItABQABgAIAAAAIQABZ+IhRwIA&#10;AI4EAAAOAAAAAAAAAAAAAAAAAC4CAABkcnMvZTJvRG9jLnhtbFBLAQItABQABgAIAAAAIQCley8n&#10;3QAAAAcBAAAPAAAAAAAAAAAAAAAAAKEEAABkcnMvZG93bnJldi54bWxQSwUGAAAAAAQABADzAAAA&#10;qwUAAAAA&#10;" strokecolor="white [3212]">
              <v:textbox style="mso-fit-shape-to-text:t">
                <w:txbxContent>
                  <w:p w14:paraId="150DD107" w14:textId="77777777" w:rsidR="00D63FEC" w:rsidRDefault="00D63FEC" w:rsidP="00CD15CE">
                    <w:pPr>
                      <w:tabs>
                        <w:tab w:val="left" w:pos="495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Missouri Department of Transportation</w:t>
                    </w:r>
                  </w:p>
                  <w:p w14:paraId="150DD108" w14:textId="33634D33" w:rsidR="00D63FEC" w:rsidRDefault="00625BEE">
                    <w:r>
                      <w:rPr>
                        <w:i/>
                        <w:sz w:val="20"/>
                      </w:rPr>
                      <w:t>Patrick McKenna</w:t>
                    </w:r>
                    <w:r w:rsidR="0046641E">
                      <w:rPr>
                        <w:i/>
                        <w:sz w:val="20"/>
                      </w:rPr>
                      <w:t>, Director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50DD0F4" w14:textId="77777777" w:rsidR="00D63FEC" w:rsidRDefault="00D63FEC" w:rsidP="007617F7">
    <w:pPr>
      <w:pStyle w:val="Header"/>
      <w:ind w:left="-1080"/>
    </w:pPr>
  </w:p>
  <w:p w14:paraId="150DD0F5" w14:textId="77777777" w:rsidR="00D63FEC" w:rsidRDefault="00D63FEC" w:rsidP="007617F7">
    <w:pPr>
      <w:pStyle w:val="Header"/>
      <w:ind w:left="-1080"/>
    </w:pPr>
  </w:p>
  <w:p w14:paraId="150DD0F6" w14:textId="77777777" w:rsidR="00D63FEC" w:rsidRDefault="00D63FEC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BB"/>
    <w:rsid w:val="000100B1"/>
    <w:rsid w:val="000124F4"/>
    <w:rsid w:val="0001682A"/>
    <w:rsid w:val="000271A8"/>
    <w:rsid w:val="00031689"/>
    <w:rsid w:val="00041958"/>
    <w:rsid w:val="000873B2"/>
    <w:rsid w:val="000A0A6A"/>
    <w:rsid w:val="000F1D1F"/>
    <w:rsid w:val="000F34B2"/>
    <w:rsid w:val="0012006B"/>
    <w:rsid w:val="001255E5"/>
    <w:rsid w:val="0012720B"/>
    <w:rsid w:val="0015384C"/>
    <w:rsid w:val="00155C8D"/>
    <w:rsid w:val="001620CC"/>
    <w:rsid w:val="001739EE"/>
    <w:rsid w:val="00177F7B"/>
    <w:rsid w:val="00194906"/>
    <w:rsid w:val="001976AF"/>
    <w:rsid w:val="001A2B9C"/>
    <w:rsid w:val="001A2F92"/>
    <w:rsid w:val="001B47F8"/>
    <w:rsid w:val="00230915"/>
    <w:rsid w:val="002316D5"/>
    <w:rsid w:val="00233040"/>
    <w:rsid w:val="00235813"/>
    <w:rsid w:val="0024180A"/>
    <w:rsid w:val="002513DD"/>
    <w:rsid w:val="002618C8"/>
    <w:rsid w:val="00285316"/>
    <w:rsid w:val="002D0D6A"/>
    <w:rsid w:val="002E2A20"/>
    <w:rsid w:val="002E43CF"/>
    <w:rsid w:val="002F2113"/>
    <w:rsid w:val="00303243"/>
    <w:rsid w:val="00304111"/>
    <w:rsid w:val="00307EAD"/>
    <w:rsid w:val="00311940"/>
    <w:rsid w:val="00312128"/>
    <w:rsid w:val="003177CA"/>
    <w:rsid w:val="00351C49"/>
    <w:rsid w:val="00362E62"/>
    <w:rsid w:val="0036443E"/>
    <w:rsid w:val="00393398"/>
    <w:rsid w:val="003B6778"/>
    <w:rsid w:val="003B7AD3"/>
    <w:rsid w:val="003E5742"/>
    <w:rsid w:val="00403533"/>
    <w:rsid w:val="004049AE"/>
    <w:rsid w:val="00404F3D"/>
    <w:rsid w:val="00406268"/>
    <w:rsid w:val="004144C1"/>
    <w:rsid w:val="00420089"/>
    <w:rsid w:val="00423FD3"/>
    <w:rsid w:val="00430C14"/>
    <w:rsid w:val="00456901"/>
    <w:rsid w:val="00464BE7"/>
    <w:rsid w:val="0046641E"/>
    <w:rsid w:val="00473DDE"/>
    <w:rsid w:val="004A426A"/>
    <w:rsid w:val="004A4814"/>
    <w:rsid w:val="004A7342"/>
    <w:rsid w:val="004B2D00"/>
    <w:rsid w:val="004C7AFD"/>
    <w:rsid w:val="004D3C12"/>
    <w:rsid w:val="004D4499"/>
    <w:rsid w:val="00517150"/>
    <w:rsid w:val="00522D94"/>
    <w:rsid w:val="005261BD"/>
    <w:rsid w:val="0052679E"/>
    <w:rsid w:val="00540FBE"/>
    <w:rsid w:val="00541584"/>
    <w:rsid w:val="00545F87"/>
    <w:rsid w:val="0055233A"/>
    <w:rsid w:val="00555DCA"/>
    <w:rsid w:val="005718BE"/>
    <w:rsid w:val="005775A4"/>
    <w:rsid w:val="00582022"/>
    <w:rsid w:val="005870D8"/>
    <w:rsid w:val="005B003B"/>
    <w:rsid w:val="005B07BB"/>
    <w:rsid w:val="005B2188"/>
    <w:rsid w:val="005B2231"/>
    <w:rsid w:val="005B609D"/>
    <w:rsid w:val="005C1560"/>
    <w:rsid w:val="005C2C57"/>
    <w:rsid w:val="005D3B38"/>
    <w:rsid w:val="00610997"/>
    <w:rsid w:val="006155DE"/>
    <w:rsid w:val="00615C0E"/>
    <w:rsid w:val="00625BEE"/>
    <w:rsid w:val="00625C6C"/>
    <w:rsid w:val="00643F02"/>
    <w:rsid w:val="00652EF0"/>
    <w:rsid w:val="0067356A"/>
    <w:rsid w:val="00684B54"/>
    <w:rsid w:val="00685AD7"/>
    <w:rsid w:val="00686D69"/>
    <w:rsid w:val="006B7152"/>
    <w:rsid w:val="006E0577"/>
    <w:rsid w:val="006E1095"/>
    <w:rsid w:val="006E55B5"/>
    <w:rsid w:val="006F7299"/>
    <w:rsid w:val="00713F69"/>
    <w:rsid w:val="007227B3"/>
    <w:rsid w:val="00756A76"/>
    <w:rsid w:val="007617F7"/>
    <w:rsid w:val="00766DEE"/>
    <w:rsid w:val="00772AB6"/>
    <w:rsid w:val="007B1A2E"/>
    <w:rsid w:val="007B556A"/>
    <w:rsid w:val="007C13E7"/>
    <w:rsid w:val="007C3141"/>
    <w:rsid w:val="007C5BE4"/>
    <w:rsid w:val="007E2E16"/>
    <w:rsid w:val="007E51EA"/>
    <w:rsid w:val="007F5C14"/>
    <w:rsid w:val="00803221"/>
    <w:rsid w:val="008037C9"/>
    <w:rsid w:val="00807144"/>
    <w:rsid w:val="008211DA"/>
    <w:rsid w:val="00835006"/>
    <w:rsid w:val="0086041D"/>
    <w:rsid w:val="008736B0"/>
    <w:rsid w:val="00875DB2"/>
    <w:rsid w:val="00876922"/>
    <w:rsid w:val="00876F11"/>
    <w:rsid w:val="008A02B4"/>
    <w:rsid w:val="008B0C38"/>
    <w:rsid w:val="008B25A4"/>
    <w:rsid w:val="008E0C97"/>
    <w:rsid w:val="008E244D"/>
    <w:rsid w:val="008E3E4D"/>
    <w:rsid w:val="008F73F3"/>
    <w:rsid w:val="009104B7"/>
    <w:rsid w:val="00921734"/>
    <w:rsid w:val="00975F2E"/>
    <w:rsid w:val="009800F6"/>
    <w:rsid w:val="00980E11"/>
    <w:rsid w:val="009B0665"/>
    <w:rsid w:val="009C1934"/>
    <w:rsid w:val="00A02BA1"/>
    <w:rsid w:val="00A10A3F"/>
    <w:rsid w:val="00A40C97"/>
    <w:rsid w:val="00A41DDA"/>
    <w:rsid w:val="00A542C5"/>
    <w:rsid w:val="00A67EE7"/>
    <w:rsid w:val="00A72869"/>
    <w:rsid w:val="00A95222"/>
    <w:rsid w:val="00AB211C"/>
    <w:rsid w:val="00AB2E44"/>
    <w:rsid w:val="00AC5B8D"/>
    <w:rsid w:val="00AD20C1"/>
    <w:rsid w:val="00AD22DA"/>
    <w:rsid w:val="00AD46CD"/>
    <w:rsid w:val="00AE2375"/>
    <w:rsid w:val="00B0746D"/>
    <w:rsid w:val="00B321EF"/>
    <w:rsid w:val="00B41C3C"/>
    <w:rsid w:val="00B86A55"/>
    <w:rsid w:val="00B9446C"/>
    <w:rsid w:val="00B94846"/>
    <w:rsid w:val="00B94A00"/>
    <w:rsid w:val="00BA5CC8"/>
    <w:rsid w:val="00BA6AF0"/>
    <w:rsid w:val="00BB2933"/>
    <w:rsid w:val="00BB5734"/>
    <w:rsid w:val="00BE070F"/>
    <w:rsid w:val="00C12DA0"/>
    <w:rsid w:val="00C22498"/>
    <w:rsid w:val="00C62398"/>
    <w:rsid w:val="00C75FFD"/>
    <w:rsid w:val="00C91BD8"/>
    <w:rsid w:val="00CB3A9C"/>
    <w:rsid w:val="00CC03DE"/>
    <w:rsid w:val="00CD15CE"/>
    <w:rsid w:val="00D14809"/>
    <w:rsid w:val="00D14CC4"/>
    <w:rsid w:val="00D214B6"/>
    <w:rsid w:val="00D243AD"/>
    <w:rsid w:val="00D35D48"/>
    <w:rsid w:val="00D36001"/>
    <w:rsid w:val="00D407B5"/>
    <w:rsid w:val="00D44780"/>
    <w:rsid w:val="00D510B8"/>
    <w:rsid w:val="00D63FEC"/>
    <w:rsid w:val="00D73D89"/>
    <w:rsid w:val="00D930C2"/>
    <w:rsid w:val="00DB0BDE"/>
    <w:rsid w:val="00DB65B9"/>
    <w:rsid w:val="00DC4CF1"/>
    <w:rsid w:val="00DD1CB1"/>
    <w:rsid w:val="00DE0727"/>
    <w:rsid w:val="00E05289"/>
    <w:rsid w:val="00E06A4C"/>
    <w:rsid w:val="00E178C9"/>
    <w:rsid w:val="00E20D62"/>
    <w:rsid w:val="00E30852"/>
    <w:rsid w:val="00E533D4"/>
    <w:rsid w:val="00E84030"/>
    <w:rsid w:val="00E921FC"/>
    <w:rsid w:val="00E972C6"/>
    <w:rsid w:val="00EA675D"/>
    <w:rsid w:val="00EB10F7"/>
    <w:rsid w:val="00EC0EC9"/>
    <w:rsid w:val="00EE0712"/>
    <w:rsid w:val="00EE1486"/>
    <w:rsid w:val="00EE37D7"/>
    <w:rsid w:val="00EE50AE"/>
    <w:rsid w:val="00EF6F50"/>
    <w:rsid w:val="00F124E2"/>
    <w:rsid w:val="00F44AAE"/>
    <w:rsid w:val="00F548B0"/>
    <w:rsid w:val="00F55837"/>
    <w:rsid w:val="00F573BF"/>
    <w:rsid w:val="00F62244"/>
    <w:rsid w:val="00F64FF3"/>
    <w:rsid w:val="00F77D3B"/>
    <w:rsid w:val="00F93756"/>
    <w:rsid w:val="00F9642E"/>
    <w:rsid w:val="00FA2C3E"/>
    <w:rsid w:val="00FD0728"/>
    <w:rsid w:val="00FD36CD"/>
    <w:rsid w:val="00FE1B1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."/>
  <w:listSeparator w:val=","/>
  <w14:docId w14:val="150DD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header" w:uiPriority="0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EC"/>
    <w:pPr>
      <w:ind w:firstLine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Cs w:val="24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Cs w:val="24"/>
      <w:lang w:bidi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Cs w:val="24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  <w:ind w:firstLine="360"/>
    </w:pPr>
    <w:rPr>
      <w:rFonts w:asciiTheme="minorHAnsi" w:eastAsiaTheme="minorEastAsia" w:hAnsiTheme="minorHAnsi" w:cstheme="minorBidi"/>
      <w:b/>
      <w:caps/>
      <w:color w:val="DD8047" w:themeColor="accent2"/>
      <w:spacing w:val="60"/>
      <w:szCs w:val="22"/>
      <w:lang w:bidi="en-US"/>
    </w:rPr>
  </w:style>
  <w:style w:type="paragraph" w:customStyle="1" w:styleId="Subsection">
    <w:name w:val="Subsection"/>
    <w:basedOn w:val="Normal"/>
    <w:uiPriority w:val="3"/>
    <w:rsid w:val="00233040"/>
    <w:pPr>
      <w:spacing w:after="40"/>
      <w:ind w:firstLine="360"/>
    </w:pPr>
    <w:rPr>
      <w:rFonts w:asciiTheme="minorHAnsi" w:eastAsiaTheme="minorEastAsia" w:hAnsiTheme="minorHAnsi" w:cstheme="minorBidi"/>
      <w:b/>
      <w:color w:val="94B6D2" w:themeColor="accent1"/>
      <w:spacing w:val="30"/>
      <w:szCs w:val="22"/>
      <w:lang w:bidi="en-US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rFonts w:asciiTheme="minorHAnsi" w:eastAsiaTheme="minorEastAsia" w:hAnsiTheme="minorHAnsi" w:cstheme="minorBidi"/>
      <w:szCs w:val="22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pPr>
      <w:ind w:firstLine="360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pPr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bidi="en-US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rFonts w:asciiTheme="minorHAnsi" w:eastAsiaTheme="minorEastAsia" w:hAnsiTheme="minorHAnsi" w:cstheme="minorBidi"/>
      <w:color w:val="94B6D2" w:themeColor="accent1"/>
      <w:sz w:val="22"/>
      <w:szCs w:val="22"/>
      <w:lang w:bidi="en-US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rFonts w:asciiTheme="minorHAnsi" w:eastAsiaTheme="minorEastAsia" w:hAnsiTheme="minorHAnsi" w:cstheme="minorBidi"/>
      <w:color w:val="DD8047" w:themeColor="accent2"/>
      <w:sz w:val="22"/>
      <w:szCs w:val="22"/>
      <w:lang w:bidi="en-US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rFonts w:asciiTheme="minorHAnsi" w:eastAsiaTheme="minorEastAsia" w:hAnsiTheme="minorHAnsi" w:cstheme="minorBidi"/>
      <w:caps/>
      <w:spacing w:val="4"/>
      <w:sz w:val="22"/>
      <w:szCs w:val="22"/>
      <w:lang w:bidi="en-US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100B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PersonalName">
    <w:name w:val="Personal Name"/>
    <w:basedOn w:val="Normal"/>
    <w:uiPriority w:val="1"/>
    <w:rsid w:val="00233040"/>
    <w:pPr>
      <w:ind w:firstLine="360"/>
    </w:pPr>
    <w:rPr>
      <w:rFonts w:asciiTheme="minorHAnsi" w:eastAsiaTheme="minorEastAsia" w:hAnsiTheme="minorHAnsi" w:cstheme="minorBidi"/>
      <w:color w:val="FFFFFF" w:themeColor="background1"/>
      <w:sz w:val="40"/>
      <w:szCs w:val="22"/>
      <w:lang w:bidi="en-US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rFonts w:asciiTheme="minorHAnsi" w:eastAsiaTheme="minorEastAsia" w:hAnsiTheme="minorHAnsi" w:cstheme="minorBidi"/>
      <w:i/>
      <w:iCs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  <w:ind w:firstLine="360"/>
    </w:pPr>
    <w:rPr>
      <w:rFonts w:asciiTheme="minorHAnsi" w:eastAsiaTheme="minorEastAsia" w:hAnsiTheme="minorHAnsi" w:cstheme="minorBidi"/>
      <w:b/>
      <w:caps/>
      <w:noProof/>
      <w:color w:val="775F55" w:themeColor="text2"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  <w:ind w:firstLine="360"/>
    </w:pPr>
    <w:rPr>
      <w:rFonts w:asciiTheme="minorHAnsi" w:eastAsiaTheme="minorEastAsia" w:hAnsiTheme="minorHAnsi" w:cstheme="minorBidi"/>
      <w:color w:val="775F55" w:themeColor="text2"/>
      <w:sz w:val="20"/>
      <w:szCs w:val="22"/>
      <w:lang w:bidi="en-US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ind w:firstLine="360"/>
      <w:jc w:val="right"/>
    </w:pPr>
    <w:rPr>
      <w:rFonts w:asciiTheme="minorHAnsi" w:eastAsiaTheme="minorEastAsia" w:hAnsiTheme="minorHAnsi" w:cstheme="minorBidi"/>
      <w:color w:val="775F55" w:themeColor="text2"/>
      <w:sz w:val="20"/>
      <w:szCs w:val="22"/>
      <w:lang w:bidi="en-US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pPr>
      <w:ind w:firstLine="360"/>
    </w:pPr>
    <w:rPr>
      <w:rFonts w:asciiTheme="minorHAnsi" w:eastAsiaTheme="minorEastAsia" w:hAnsiTheme="minorHAnsi" w:cstheme="minorBidi"/>
      <w:b/>
      <w:color w:val="775F55" w:themeColor="text2"/>
      <w:sz w:val="36"/>
      <w:szCs w:val="36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ind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pPr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pPr>
      <w:ind w:firstLine="360"/>
    </w:pPr>
    <w:rPr>
      <w:rFonts w:asciiTheme="minorHAnsi" w:eastAsiaTheme="minorEastAsia" w:hAnsiTheme="minorHAnsi" w:cstheme="minorBidi"/>
      <w:b/>
      <w:szCs w:val="24"/>
      <w:lang w:bidi="en-US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styleId="BodyText">
    <w:name w:val="Body Text"/>
    <w:basedOn w:val="Normal"/>
    <w:link w:val="BodyTextChar"/>
    <w:semiHidden/>
    <w:rsid w:val="00D63FEC"/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D63FEC"/>
    <w:rPr>
      <w:rFonts w:ascii="Times New Roman" w:eastAsia="Times New Roman" w:hAnsi="Times New Roman" w:cs="Times New Roman"/>
      <w:snapToGrid w:val="0"/>
      <w:color w:val="000000"/>
      <w:sz w:val="24"/>
      <w:szCs w:val="20"/>
      <w:lang w:bidi="ar-SA"/>
    </w:rPr>
  </w:style>
  <w:style w:type="paragraph" w:customStyle="1" w:styleId="BodySingle">
    <w:name w:val="Body Single"/>
    <w:rsid w:val="00D63FEC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0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header" w:uiPriority="0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EC"/>
    <w:pPr>
      <w:ind w:firstLine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Cs w:val="24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Cs w:val="24"/>
      <w:lang w:bidi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Cs w:val="24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  <w:ind w:firstLine="360"/>
    </w:pPr>
    <w:rPr>
      <w:rFonts w:asciiTheme="minorHAnsi" w:eastAsiaTheme="minorEastAsia" w:hAnsiTheme="minorHAnsi" w:cstheme="minorBidi"/>
      <w:b/>
      <w:caps/>
      <w:color w:val="DD8047" w:themeColor="accent2"/>
      <w:spacing w:val="60"/>
      <w:szCs w:val="22"/>
      <w:lang w:bidi="en-US"/>
    </w:rPr>
  </w:style>
  <w:style w:type="paragraph" w:customStyle="1" w:styleId="Subsection">
    <w:name w:val="Subsection"/>
    <w:basedOn w:val="Normal"/>
    <w:uiPriority w:val="3"/>
    <w:rsid w:val="00233040"/>
    <w:pPr>
      <w:spacing w:after="40"/>
      <w:ind w:firstLine="360"/>
    </w:pPr>
    <w:rPr>
      <w:rFonts w:asciiTheme="minorHAnsi" w:eastAsiaTheme="minorEastAsia" w:hAnsiTheme="minorHAnsi" w:cstheme="minorBidi"/>
      <w:b/>
      <w:color w:val="94B6D2" w:themeColor="accent1"/>
      <w:spacing w:val="30"/>
      <w:szCs w:val="22"/>
      <w:lang w:bidi="en-US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rFonts w:asciiTheme="minorHAnsi" w:eastAsiaTheme="minorEastAsia" w:hAnsiTheme="minorHAnsi" w:cstheme="minorBidi"/>
      <w:szCs w:val="22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pPr>
      <w:ind w:firstLine="360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pPr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bidi="en-US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rFonts w:asciiTheme="minorHAnsi" w:eastAsiaTheme="minorEastAsia" w:hAnsiTheme="minorHAnsi" w:cstheme="minorBidi"/>
      <w:color w:val="94B6D2" w:themeColor="accent1"/>
      <w:sz w:val="22"/>
      <w:szCs w:val="22"/>
      <w:lang w:bidi="en-US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rFonts w:asciiTheme="minorHAnsi" w:eastAsiaTheme="minorEastAsia" w:hAnsiTheme="minorHAnsi" w:cstheme="minorBidi"/>
      <w:color w:val="DD8047" w:themeColor="accent2"/>
      <w:sz w:val="22"/>
      <w:szCs w:val="22"/>
      <w:lang w:bidi="en-US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rFonts w:asciiTheme="minorHAnsi" w:eastAsiaTheme="minorEastAsia" w:hAnsiTheme="minorHAnsi" w:cstheme="minorBidi"/>
      <w:caps/>
      <w:spacing w:val="4"/>
      <w:sz w:val="22"/>
      <w:szCs w:val="22"/>
      <w:lang w:bidi="en-US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100B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PersonalName">
    <w:name w:val="Personal Name"/>
    <w:basedOn w:val="Normal"/>
    <w:uiPriority w:val="1"/>
    <w:rsid w:val="00233040"/>
    <w:pPr>
      <w:ind w:firstLine="360"/>
    </w:pPr>
    <w:rPr>
      <w:rFonts w:asciiTheme="minorHAnsi" w:eastAsiaTheme="minorEastAsia" w:hAnsiTheme="minorHAnsi" w:cstheme="minorBidi"/>
      <w:color w:val="FFFFFF" w:themeColor="background1"/>
      <w:sz w:val="40"/>
      <w:szCs w:val="22"/>
      <w:lang w:bidi="en-US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rFonts w:asciiTheme="minorHAnsi" w:eastAsiaTheme="minorEastAsia" w:hAnsiTheme="minorHAnsi" w:cstheme="minorBidi"/>
      <w:i/>
      <w:iCs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  <w:ind w:firstLine="360"/>
    </w:pPr>
    <w:rPr>
      <w:rFonts w:asciiTheme="minorHAnsi" w:eastAsiaTheme="minorEastAsia" w:hAnsiTheme="minorHAnsi" w:cstheme="minorBidi"/>
      <w:b/>
      <w:caps/>
      <w:noProof/>
      <w:color w:val="775F55" w:themeColor="text2"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  <w:ind w:firstLine="360"/>
    </w:pPr>
    <w:rPr>
      <w:rFonts w:asciiTheme="minorHAnsi" w:eastAsiaTheme="minorEastAsia" w:hAnsiTheme="minorHAnsi" w:cstheme="minorBidi"/>
      <w:color w:val="775F55" w:themeColor="text2"/>
      <w:sz w:val="20"/>
      <w:szCs w:val="22"/>
      <w:lang w:bidi="en-US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ind w:firstLine="360"/>
      <w:jc w:val="right"/>
    </w:pPr>
    <w:rPr>
      <w:rFonts w:asciiTheme="minorHAnsi" w:eastAsiaTheme="minorEastAsia" w:hAnsiTheme="minorHAnsi" w:cstheme="minorBidi"/>
      <w:color w:val="775F55" w:themeColor="text2"/>
      <w:sz w:val="20"/>
      <w:szCs w:val="22"/>
      <w:lang w:bidi="en-US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pPr>
      <w:ind w:firstLine="360"/>
    </w:pPr>
    <w:rPr>
      <w:rFonts w:asciiTheme="minorHAnsi" w:eastAsiaTheme="minorEastAsia" w:hAnsiTheme="minorHAnsi" w:cstheme="minorBidi"/>
      <w:b/>
      <w:color w:val="775F55" w:themeColor="text2"/>
      <w:sz w:val="36"/>
      <w:szCs w:val="36"/>
      <w:lang w:bidi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ind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pPr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pPr>
      <w:ind w:firstLine="360"/>
    </w:pPr>
    <w:rPr>
      <w:rFonts w:asciiTheme="minorHAnsi" w:eastAsiaTheme="minorEastAsia" w:hAnsiTheme="minorHAnsi" w:cstheme="minorBidi"/>
      <w:b/>
      <w:szCs w:val="24"/>
      <w:lang w:bidi="en-US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  <w:style w:type="paragraph" w:styleId="BodyText">
    <w:name w:val="Body Text"/>
    <w:basedOn w:val="Normal"/>
    <w:link w:val="BodyTextChar"/>
    <w:semiHidden/>
    <w:rsid w:val="00D63FEC"/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D63FEC"/>
    <w:rPr>
      <w:rFonts w:ascii="Times New Roman" w:eastAsia="Times New Roman" w:hAnsi="Times New Roman" w:cs="Times New Roman"/>
      <w:snapToGrid w:val="0"/>
      <w:color w:val="000000"/>
      <w:sz w:val="24"/>
      <w:szCs w:val="20"/>
      <w:lang w:bidi="ar-SA"/>
    </w:rPr>
  </w:style>
  <w:style w:type="paragraph" w:customStyle="1" w:styleId="BodySingle">
    <w:name w:val="Body Single"/>
    <w:rsid w:val="00D63FEC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964C9752934D95DDDAE69A87B3C6" ma:contentTypeVersion="0" ma:contentTypeDescription="Create a new document." ma:contentTypeScope="" ma:versionID="1a310f74adf6d6eff350f170f3f80e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33E38FA-2427-4173-9307-10E5BD04F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B2AF-7CD4-4D9F-B92C-B593A4AA4ABE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25BFD9-E34D-44BB-9C85-78389B47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Robinett</dc:creator>
  <cp:lastModifiedBy>Janette M. Vomund</cp:lastModifiedBy>
  <cp:revision>10</cp:revision>
  <cp:lastPrinted>2019-03-05T15:41:00Z</cp:lastPrinted>
  <dcterms:created xsi:type="dcterms:W3CDTF">2017-04-28T20:29:00Z</dcterms:created>
  <dcterms:modified xsi:type="dcterms:W3CDTF">2019-05-21T12:25:00Z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0x010100166C964C9752934D95DDDAE69A87B3C6</vt:lpwstr>
  </property>
</Properties>
</file>